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07.02.2020,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Lage, Risikobewertung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/>
          <w:p>
            <w:r>
              <w:t>INIG/FG36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Aktivitäten und Maßnahmen in Deutschland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FG36/FG32/IBBS</w:t>
            </w:r>
          </w:p>
          <w:p>
            <w:r>
              <w:t>FG17/ZBS1</w:t>
            </w:r>
          </w:p>
          <w:p>
            <w:r>
              <w:t xml:space="preserve">FG 14 </w:t>
            </w:r>
          </w:p>
          <w:p>
            <w:r>
              <w:t>IBBS</w:t>
            </w:r>
          </w:p>
          <w:p>
            <w:r>
              <w:t>FG 32</w:t>
            </w:r>
          </w:p>
        </w:tc>
      </w:tr>
      <w:tr>
        <w:trPr>
          <w:trHeight w:val="546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Dokumente, Kommunikation – Update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Lageberichte Versand/auch am Wochenende?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Entscheidung: Darstellung des Clusters mit repatriierten Personen in der geographischen Darstellung? (Problem: Meldekreise der Repatriierten)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Kommunikation von Verdachtsfällen?</w:t>
            </w:r>
          </w:p>
        </w:tc>
        <w:tc>
          <w:tcPr>
            <w:tcW w:w="2268" w:type="dxa"/>
          </w:tcPr>
          <w:p>
            <w:r>
              <w:t>Presse, 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der Koordinierungsstelle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Information aus der AGI</w:t>
            </w:r>
          </w:p>
          <w:p>
            <w:pPr>
              <w:ind w:left="360"/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Virologische Surveillance: regulatorischen, rechtlichen, personellen und finanziellen Dimensionen</w:t>
            </w:r>
          </w:p>
        </w:tc>
        <w:tc>
          <w:tcPr>
            <w:tcW w:w="2268" w:type="dxa"/>
          </w:tcPr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6.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Flughafendokument: Wie Umgang mit Kategorie 2 Kontaktpersonen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7.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Nächstes Treffen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10.02.2020, 13:00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535BA-7006-44CD-B7B9-0A5A5D1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12</cp:revision>
  <cp:lastPrinted>2017-11-06T06:42:00Z</cp:lastPrinted>
  <dcterms:created xsi:type="dcterms:W3CDTF">2020-02-03T09:36:00Z</dcterms:created>
  <dcterms:modified xsi:type="dcterms:W3CDTF">2022-12-22T10:18:00Z</dcterms:modified>
</cp:coreProperties>
</file>