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Coronavirus SARS-CoV-2</w:t>
          </w:r>
          <w:r>
            <w:t xml:space="preserve"> 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Fälle, Schwere, Entlassungen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Verdachtsfälle, Kontakte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Update Repatriierung „Princess Diamond“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Update </w:t>
            </w:r>
            <w:proofErr w:type="spellStart"/>
            <w:r>
              <w:rPr>
                <w:sz w:val="22"/>
              </w:rPr>
              <w:t>KoNa</w:t>
            </w:r>
            <w:proofErr w:type="spellEnd"/>
            <w:r>
              <w:rPr>
                <w:sz w:val="22"/>
              </w:rPr>
              <w:t xml:space="preserve"> „</w:t>
            </w:r>
            <w:proofErr w:type="spellStart"/>
            <w:r>
              <w:rPr>
                <w:sz w:val="22"/>
              </w:rPr>
              <w:t>Westerdam</w:t>
            </w:r>
            <w:proofErr w:type="spellEnd"/>
            <w:r>
              <w:rPr>
                <w:sz w:val="22"/>
              </w:rPr>
              <w:t>“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Repatriierung weiterer Deutscher (DEU und Angehörige) aus </w:t>
            </w:r>
            <w:commentRangeStart w:id="0"/>
            <w:r>
              <w:rPr>
                <w:sz w:val="22"/>
                <w:highlight w:val="yellow"/>
              </w:rPr>
              <w:t>Wuhan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rPr>
                <w:sz w:val="22"/>
                <w:highlight w:val="yellow"/>
              </w:rPr>
              <w:t xml:space="preserve"> durch Frankreich</w:t>
            </w:r>
            <w:r>
              <w:rPr>
                <w:sz w:val="22"/>
              </w:rPr>
              <w:t>?</w:t>
            </w:r>
          </w:p>
          <w:p>
            <w:pPr>
              <w:pStyle w:val="Listenabsatz"/>
              <w:ind w:left="1440"/>
            </w:pPr>
          </w:p>
        </w:tc>
        <w:tc>
          <w:tcPr>
            <w:tcW w:w="2268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FG36</w:t>
            </w:r>
          </w:p>
          <w:p/>
          <w:p>
            <w:r>
              <w:t>FG 32</w:t>
            </w:r>
          </w:p>
          <w:p/>
          <w:p>
            <w:r>
              <w:rPr>
                <w:highlight w:val="yellow"/>
              </w:rPr>
              <w:t>BW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Übertragungswege, </w:t>
            </w:r>
            <w:proofErr w:type="spellStart"/>
            <w:r>
              <w:t>Epimatrix</w:t>
            </w:r>
            <w:proofErr w:type="spellEnd"/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Presse</w:t>
            </w:r>
          </w:p>
          <w:p>
            <w:r>
              <w:t>BZgA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rPr>
                <w:sz w:val="22"/>
              </w:rPr>
              <w:t>Handreichung GA medizinisches Personal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rPr>
                <w:sz w:val="22"/>
              </w:rPr>
              <w:t>Ressourcenschonender Einsatz Masken</w:t>
            </w:r>
          </w:p>
          <w:p>
            <w:pPr>
              <w:pStyle w:val="Listenabsatz"/>
              <w:numPr>
                <w:ilvl w:val="0"/>
                <w:numId w:val="13"/>
              </w:numPr>
            </w:pPr>
            <w:r>
              <w:rPr>
                <w:sz w:val="22"/>
              </w:rPr>
              <w:t>Ambulante Abklärung, Quarantäne, Bevorratungsstrategie</w:t>
            </w:r>
          </w:p>
        </w:tc>
        <w:tc>
          <w:tcPr>
            <w:tcW w:w="2268" w:type="dxa"/>
          </w:tcPr>
          <w:p/>
          <w:p>
            <w:r>
              <w:t>FG36</w:t>
            </w:r>
          </w:p>
          <w:p>
            <w:r>
              <w:t>FG14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sz w:val="22"/>
                <w:lang w:val="en-US"/>
              </w:rPr>
              <w:t>AGI-Sentinel</w:t>
            </w:r>
          </w:p>
        </w:tc>
        <w:tc>
          <w:tcPr>
            <w:tcW w:w="2268" w:type="dxa"/>
          </w:tcPr>
          <w:p>
            <w:r>
              <w:t>FG17/ZBS1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 14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 xml:space="preserve">EC/ECDC Studie zu repatriierten EU/EEA Bürgern </w:t>
            </w:r>
            <w:r>
              <w:rPr>
                <w:sz w:val="22"/>
              </w:rPr>
              <w:lastRenderedPageBreak/>
              <w:t>aus Wuhan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 xml:space="preserve">ECDC 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Nominate operational contact points (OCPs) for COVID-19 in Customer relationship management (CRM) for </w:t>
            </w:r>
          </w:p>
          <w:p>
            <w:pPr>
              <w:pStyle w:val="Listenabsatz"/>
              <w:ind w:left="14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(1) epidemiology: Silke Buda</w:t>
            </w:r>
          </w:p>
          <w:p>
            <w:pPr>
              <w:pStyle w:val="Listenabsatz"/>
              <w:ind w:left="14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(2) microbiology: Thorsten Wolff</w:t>
            </w:r>
          </w:p>
          <w:p>
            <w:pPr>
              <w:pStyle w:val="Listenabsatz"/>
              <w:ind w:left="1440"/>
              <w:rPr>
                <w:sz w:val="22"/>
              </w:rPr>
            </w:pPr>
            <w:r>
              <w:rPr>
                <w:sz w:val="22"/>
              </w:rPr>
              <w:t xml:space="preserve">(3) </w:t>
            </w:r>
            <w:proofErr w:type="spellStart"/>
            <w:r>
              <w:rPr>
                <w:sz w:val="22"/>
              </w:rPr>
              <w:t>TESSy</w:t>
            </w:r>
            <w:proofErr w:type="spellEnd"/>
          </w:p>
          <w:p>
            <w:pPr>
              <w:pStyle w:val="Listenabsatz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sz w:val="22"/>
                <w:lang w:val="en-GB"/>
              </w:rPr>
              <w:t xml:space="preserve">Check the TESSy access rights for “COVID-19” and adapt according to your preferences </w:t>
            </w:r>
            <w:r>
              <w:rPr>
                <w:sz w:val="18"/>
              </w:rPr>
              <w:sym w:font="Wingdings" w:char="F0E0"/>
            </w:r>
            <w:r>
              <w:rPr>
                <w:sz w:val="18"/>
                <w:lang w:val="en-GB"/>
              </w:rPr>
              <w:t xml:space="preserve"> Michaela Diercke, Silke Buda und Andreas Tille haben Rechte </w:t>
            </w:r>
            <w:r>
              <w:rPr>
                <w:sz w:val="20"/>
                <w:lang w:val="en-GB"/>
              </w:rPr>
              <w:t>auf TESSY COVID-Daten hochzuladen</w:t>
            </w:r>
          </w:p>
        </w:tc>
        <w:tc>
          <w:tcPr>
            <w:tcW w:w="2268" w:type="dxa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GHSI: Fachliche Themen</w:t>
            </w:r>
          </w:p>
        </w:tc>
        <w:tc>
          <w:tcPr>
            <w:tcW w:w="2268" w:type="dxa"/>
          </w:tcPr>
          <w:p>
            <w:r>
              <w:t>ZIG</w:t>
            </w:r>
          </w:p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Donnerstag, 20.02.2020,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/>
      </w:pPr>
    </w:p>
    <w:p/>
    <w:p>
      <w:pPr>
        <w:spacing w:after="240" w:line="360" w:lineRule="auto"/>
      </w:pP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anke, B." w:date="2023-01-03T12:41:00Z" w:initials="Ha">
    <w:p>
      <w:pPr>
        <w:pStyle w:val="Kommentartext"/>
      </w:pPr>
      <w:r>
        <w:rPr>
          <w:rStyle w:val="Kommentarzeichen"/>
        </w:rPr>
        <w:annotationRef/>
      </w:r>
      <w:r>
        <w:t>ggf. vertrauliche Information, Drittbeteiligungsverfahren?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6077"/>
    <w:multiLevelType w:val="hybridMultilevel"/>
    <w:tmpl w:val="0A58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017D"/>
    <w:multiLevelType w:val="hybridMultilevel"/>
    <w:tmpl w:val="7F5436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F3689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C6D67"/>
    <w:multiLevelType w:val="hybridMultilevel"/>
    <w:tmpl w:val="65284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3970"/>
    <w:multiLevelType w:val="hybridMultilevel"/>
    <w:tmpl w:val="CEB45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ke, B.">
    <w15:presenceInfo w15:providerId="None" w15:userId="Hanke, B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2864F-C1F1-4834-99AE-720A250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24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Andreas</dc:creator>
  <cp:lastModifiedBy>Hanke, B.</cp:lastModifiedBy>
  <cp:revision>6</cp:revision>
  <cp:lastPrinted>2017-11-06T06:42:00Z</cp:lastPrinted>
  <dcterms:created xsi:type="dcterms:W3CDTF">2020-02-19T09:50:00Z</dcterms:created>
  <dcterms:modified xsi:type="dcterms:W3CDTF">2023-01-03T11:41:00Z</dcterms:modified>
</cp:coreProperties>
</file>