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EpiMatrix</w:t>
            </w:r>
            <w:proofErr w:type="spellEnd"/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Aktualisierung der Risikogebiete (Italien)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Änderungswunsch im Flussdiagram durch AGI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Bürgeranfragen, Hotline für Fachöffentlichkeit?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Dokumente/ Aufträge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Verabschiedung Rahmenkonzept</w:t>
            </w:r>
          </w:p>
        </w:tc>
        <w:tc>
          <w:tcPr>
            <w:tcW w:w="2268" w:type="dxa"/>
          </w:tcPr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Wunsch nach Abklärung ob ambulante Diagnostik künftig bei begründeten Verdachtsfällen durchgeführt werden soll, wenn diese aus den italienischen betroffenen Regionen kommen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AGI-Sentinel: mögliche Schwierigkeiten, die bei Untersuchung von SARS-CoV-2 in </w:t>
            </w:r>
            <w:proofErr w:type="spellStart"/>
            <w:r>
              <w:t>Sentinelproben</w:t>
            </w:r>
            <w:proofErr w:type="spellEnd"/>
            <w:r>
              <w:t xml:space="preserve"> auftreten</w:t>
            </w: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Modellierung von möglichen Fällen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lastRenderedPageBreak/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Bedarf an mehr Einsatzpersonal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Zuarbeit INIG zu Lagebericht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XX, XX.2020, 13:00-14:00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61C8C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F8CC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8</cp:revision>
  <cp:lastPrinted>2017-11-06T06:42:00Z</cp:lastPrinted>
  <dcterms:created xsi:type="dcterms:W3CDTF">2020-02-25T09:24:00Z</dcterms:created>
  <dcterms:modified xsi:type="dcterms:W3CDTF">2022-12-22T10:42:00Z</dcterms:modified>
</cp:coreProperties>
</file>