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26.02.2020,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O</w:t>
            </w:r>
          </w:p>
        </w:tc>
        <w:tc>
          <w:tcPr>
            <w:tcW w:w="5945" w:type="dxa"/>
          </w:tcPr>
          <w:p>
            <w:r>
              <w:t>Erfahrungen aus dem Feldeinsatz Tim Eckmanns</w:t>
            </w:r>
          </w:p>
        </w:tc>
        <w:tc>
          <w:tcPr>
            <w:tcW w:w="2268" w:type="dxa"/>
          </w:tcPr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Schwere, 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proofErr w:type="spellStart"/>
            <w:r>
              <w:t>EpiMatrix</w:t>
            </w:r>
            <w:proofErr w:type="spellEnd"/>
            <w:r>
              <w:t xml:space="preserve"> - </w:t>
            </w: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r>
              <w:t>Modellierungsansätze zu COVID-19-Szenarien</w:t>
            </w:r>
          </w:p>
        </w:tc>
        <w:tc>
          <w:tcPr>
            <w:tcW w:w="2268" w:type="dxa"/>
          </w:tcPr>
          <w:p>
            <w:r>
              <w:t>Alle</w:t>
            </w:r>
          </w:p>
          <w:p>
            <w:r>
              <w:t>Buchholz/an der Heiden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Risikoeinschätzung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Tägl. 10.00 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Internetseite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Häusliche Quarantäne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Dokumente zur ambulanten Führung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Alternativen zur staatlich angeordneten Quarantäne: soziale Distanzierung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Rahmenkonzept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Bevorratung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Strategie zur Bevorratung von Medikamenten</w:t>
            </w: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MNS für Bevölkerung?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Staatlich angeordnete Massenquarantäne vers. freiwillige soziale Distanzierung?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Absage von Massenveranstaltungen?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Meldung von Verdachtsfällen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Position für Presse, Schichten nicht besetzt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27, 02.2020, 11:00-12:00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80D4A"/>
    <w:multiLevelType w:val="hybridMultilevel"/>
    <w:tmpl w:val="0CD00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2017-11-06T06:42:00Z</cp:lastPrinted>
  <dcterms:created xsi:type="dcterms:W3CDTF">2020-01-15T13:51:00Z</dcterms:created>
  <dcterms:modified xsi:type="dcterms:W3CDTF">2022-12-22T10:43:00Z</dcterms:modified>
</cp:coreProperties>
</file>