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7B" w:rsidRDefault="00525EB2" w:rsidP="00525EB2">
      <w:pPr>
        <w:jc w:val="center"/>
        <w:rPr>
          <w:b/>
          <w:sz w:val="40"/>
        </w:rPr>
      </w:pPr>
      <w:bookmarkStart w:id="0" w:name="_GoBack"/>
      <w:bookmarkEnd w:id="0"/>
      <w:r w:rsidRPr="00525EB2">
        <w:rPr>
          <w:b/>
          <w:sz w:val="40"/>
        </w:rPr>
        <w:t>Aufträge KriSta</w:t>
      </w:r>
      <w:r w:rsidR="00506580">
        <w:rPr>
          <w:b/>
          <w:sz w:val="40"/>
        </w:rPr>
        <w:t xml:space="preserve"> BMI/BMG CoVID-19</w:t>
      </w:r>
    </w:p>
    <w:tbl>
      <w:tblPr>
        <w:tblStyle w:val="GridTable2"/>
        <w:tblW w:w="14042" w:type="dxa"/>
        <w:tblLayout w:type="fixed"/>
        <w:tblLook w:val="0420" w:firstRow="1" w:lastRow="0" w:firstColumn="0" w:lastColumn="0" w:noHBand="0" w:noVBand="1"/>
      </w:tblPr>
      <w:tblGrid>
        <w:gridCol w:w="710"/>
        <w:gridCol w:w="1083"/>
        <w:gridCol w:w="7705"/>
        <w:gridCol w:w="1417"/>
        <w:gridCol w:w="1284"/>
        <w:gridCol w:w="1843"/>
      </w:tblGrid>
      <w:tr w:rsidR="00506580" w:rsidTr="00506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tblHeader/>
        </w:trPr>
        <w:tc>
          <w:tcPr>
            <w:tcW w:w="710" w:type="dxa"/>
          </w:tcPr>
          <w:p w:rsidR="00506580" w:rsidRPr="00525EB2" w:rsidRDefault="00506580" w:rsidP="00506580">
            <w:pPr>
              <w:jc w:val="center"/>
            </w:pPr>
            <w:r>
              <w:t>TOP</w:t>
            </w:r>
          </w:p>
        </w:tc>
        <w:tc>
          <w:tcPr>
            <w:tcW w:w="1083" w:type="dxa"/>
          </w:tcPr>
          <w:p w:rsidR="00506580" w:rsidRDefault="00506580" w:rsidP="00A71687">
            <w:pPr>
              <w:jc w:val="center"/>
            </w:pPr>
            <w:proofErr w:type="spellStart"/>
            <w:r>
              <w:t>Bespr</w:t>
            </w:r>
            <w:proofErr w:type="spellEnd"/>
            <w:r>
              <w:t>.</w:t>
            </w:r>
          </w:p>
        </w:tc>
        <w:tc>
          <w:tcPr>
            <w:tcW w:w="7705" w:type="dxa"/>
          </w:tcPr>
          <w:p w:rsidR="00506580" w:rsidRPr="00525EB2" w:rsidRDefault="00506580" w:rsidP="00A71687">
            <w:pPr>
              <w:jc w:val="center"/>
            </w:pPr>
            <w:r>
              <w:t>Auftrag</w:t>
            </w:r>
          </w:p>
        </w:tc>
        <w:tc>
          <w:tcPr>
            <w:tcW w:w="1417" w:type="dxa"/>
          </w:tcPr>
          <w:p w:rsidR="00506580" w:rsidRPr="00525EB2" w:rsidRDefault="00506580" w:rsidP="00A71687">
            <w:pPr>
              <w:jc w:val="center"/>
            </w:pPr>
            <w:r>
              <w:t>Verantwortung</w:t>
            </w:r>
          </w:p>
        </w:tc>
        <w:tc>
          <w:tcPr>
            <w:tcW w:w="1284" w:type="dxa"/>
          </w:tcPr>
          <w:p w:rsidR="00506580" w:rsidRPr="00525EB2" w:rsidRDefault="00506580" w:rsidP="00A71687">
            <w:pPr>
              <w:jc w:val="center"/>
            </w:pPr>
            <w:r>
              <w:t>Frist</w:t>
            </w:r>
          </w:p>
        </w:tc>
        <w:tc>
          <w:tcPr>
            <w:tcW w:w="1843" w:type="dxa"/>
          </w:tcPr>
          <w:p w:rsidR="00506580" w:rsidRDefault="00506580" w:rsidP="00A71687">
            <w:pPr>
              <w:jc w:val="center"/>
            </w:pPr>
            <w:r>
              <w:t>Bearbeitungsstand</w:t>
            </w:r>
          </w:p>
        </w:tc>
      </w:tr>
      <w:tr w:rsidR="00506580" w:rsidTr="0050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tcW w:w="710" w:type="dxa"/>
          </w:tcPr>
          <w:p w:rsidR="00506580" w:rsidRDefault="00506580" w:rsidP="0050658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Default="00506580" w:rsidP="00525EB2">
            <w:pPr>
              <w:rPr>
                <w:b/>
              </w:rPr>
            </w:pPr>
            <w:r>
              <w:t>St Teichmann und St Steffen verweisen bezüglich der Organisation und Arbeitsweise des Krisenstabes (KriSta) auf die Hausanordnung des BMI Gruppe 4 Blatt 15. Eine Verteilung erfolgt bis zur nächsten Sitzung des KriSta. St Steffen weist auf die in der Hausanordnung vorgesehene „Strukturierte Evaluation“ hin.</w:t>
            </w:r>
          </w:p>
        </w:tc>
        <w:tc>
          <w:tcPr>
            <w:tcW w:w="1417" w:type="dxa"/>
          </w:tcPr>
          <w:p w:rsidR="00506580" w:rsidRPr="00506580" w:rsidRDefault="00506580" w:rsidP="00525EB2">
            <w:r w:rsidRPr="00506580">
              <w:t>BMI</w:t>
            </w:r>
            <w:r>
              <w:t xml:space="preserve"> (KriSta11)</w:t>
            </w:r>
          </w:p>
        </w:tc>
        <w:tc>
          <w:tcPr>
            <w:tcW w:w="1284" w:type="dxa"/>
          </w:tcPr>
          <w:p w:rsidR="00506580" w:rsidRPr="00506580" w:rsidRDefault="00506580" w:rsidP="00525EB2"/>
        </w:tc>
        <w:tc>
          <w:tcPr>
            <w:tcW w:w="1843" w:type="dxa"/>
          </w:tcPr>
          <w:p w:rsidR="00506580" w:rsidRPr="00506580" w:rsidRDefault="00506580" w:rsidP="00525EB2">
            <w:r>
              <w:t>Verteilung erledigt, Evaluation in Vorbereitung</w:t>
            </w:r>
          </w:p>
        </w:tc>
      </w:tr>
      <w:tr w:rsidR="00506580" w:rsidTr="00506580">
        <w:trPr>
          <w:trHeight w:val="304"/>
        </w:trPr>
        <w:tc>
          <w:tcPr>
            <w:tcW w:w="710" w:type="dxa"/>
          </w:tcPr>
          <w:p w:rsidR="00506580" w:rsidRDefault="00506580" w:rsidP="00525EB2">
            <w:pPr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1083" w:type="dxa"/>
          </w:tcPr>
          <w:p w:rsidR="00506580" w:rsidRDefault="00506580" w:rsidP="00525EB2">
            <w:pPr>
              <w:rPr>
                <w:b/>
              </w:rPr>
            </w:pPr>
            <w:r w:rsidRPr="00506580">
              <w:t>28.2. KriSta-Sitzung</w:t>
            </w:r>
          </w:p>
        </w:tc>
        <w:tc>
          <w:tcPr>
            <w:tcW w:w="7705" w:type="dxa"/>
          </w:tcPr>
          <w:p w:rsidR="00506580" w:rsidRDefault="00506580" w:rsidP="00525EB2">
            <w:pPr>
              <w:rPr>
                <w:b/>
              </w:rPr>
            </w:pPr>
            <w:r>
              <w:t>Das BMI wird erforderliche dienstrechtliche Betrachtungen und Empfehlungen zum Umgang mit CoVID-19 im Zusammenhang mit den Beschäftigten erstellen und den Ressorts zur Verfügung stellen.</w:t>
            </w:r>
          </w:p>
        </w:tc>
        <w:tc>
          <w:tcPr>
            <w:tcW w:w="1417" w:type="dxa"/>
          </w:tcPr>
          <w:p w:rsidR="00506580" w:rsidRPr="00506580" w:rsidRDefault="00506580" w:rsidP="00525EB2">
            <w:r>
              <w:t>BMI (KriSta5)</w:t>
            </w:r>
          </w:p>
        </w:tc>
        <w:tc>
          <w:tcPr>
            <w:tcW w:w="1284" w:type="dxa"/>
          </w:tcPr>
          <w:p w:rsidR="00506580" w:rsidRPr="00506580" w:rsidRDefault="00506580" w:rsidP="00525EB2"/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10" w:type="dxa"/>
          </w:tcPr>
          <w:p w:rsidR="00506580" w:rsidRPr="00506580" w:rsidRDefault="00506580" w:rsidP="00525EB2">
            <w:pPr>
              <w:rPr>
                <w:b/>
              </w:rPr>
            </w:pPr>
            <w:r w:rsidRPr="00506580">
              <w:rPr>
                <w:b/>
              </w:rPr>
              <w:t>5.2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Pr="00506580" w:rsidRDefault="00506580" w:rsidP="00525EB2">
            <w:r>
              <w:t>BMG wird eine Anordnung an alle Verkehrsträger (Luft, See, Land) im grenzüberschreitenden Verkehr erlassen, CoVID-19-bezogene Informationen zu verteilen. Gleiches gilt für Flughäfen, Häfen und Bahnhöfe in Deutschland (vgl. Anlage 1).</w:t>
            </w:r>
          </w:p>
        </w:tc>
        <w:tc>
          <w:tcPr>
            <w:tcW w:w="1417" w:type="dxa"/>
          </w:tcPr>
          <w:p w:rsidR="00506580" w:rsidRPr="00506580" w:rsidRDefault="00506580" w:rsidP="00525EB2">
            <w:r>
              <w:t>BMG</w:t>
            </w:r>
          </w:p>
        </w:tc>
        <w:tc>
          <w:tcPr>
            <w:tcW w:w="1284" w:type="dxa"/>
          </w:tcPr>
          <w:p w:rsidR="00506580" w:rsidRPr="00506580" w:rsidRDefault="00506580" w:rsidP="00525EB2"/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trHeight w:val="289"/>
        </w:trPr>
        <w:tc>
          <w:tcPr>
            <w:tcW w:w="710" w:type="dxa"/>
          </w:tcPr>
          <w:p w:rsidR="00506580" w:rsidRPr="00506580" w:rsidRDefault="00506580" w:rsidP="00525EB2">
            <w:pPr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Pr="00506580" w:rsidRDefault="00506580" w:rsidP="00506580">
            <w:r>
              <w:t>BMVI wird gebeten, einen schriftlichen Sachstandsbericht über das Verfahren und die freiwilligen Maßnahmen der Busverbände/-unternehmen zur Meldung von Verdachtsfällen zu erstellen.</w:t>
            </w:r>
          </w:p>
        </w:tc>
        <w:tc>
          <w:tcPr>
            <w:tcW w:w="1417" w:type="dxa"/>
          </w:tcPr>
          <w:p w:rsidR="00506580" w:rsidRPr="00506580" w:rsidRDefault="00506580" w:rsidP="00525EB2">
            <w:r>
              <w:t>BMVI</w:t>
            </w:r>
          </w:p>
        </w:tc>
        <w:tc>
          <w:tcPr>
            <w:tcW w:w="1284" w:type="dxa"/>
          </w:tcPr>
          <w:p w:rsidR="00506580" w:rsidRPr="00506580" w:rsidRDefault="00506580" w:rsidP="00525EB2"/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10" w:type="dxa"/>
          </w:tcPr>
          <w:p w:rsidR="00506580" w:rsidRPr="00506580" w:rsidRDefault="00506580" w:rsidP="00525EB2">
            <w:pPr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Pr="00506580" w:rsidRDefault="00506580" w:rsidP="00525EB2">
            <w:r>
              <w:t>Das BMI klärt, ob für den grenzüberschreitenden Bahnverkehr Österreich und Italien zur Durchführung gemeinsamer polizeilicher Streifen mit der Bundepolizei bereit sind.</w:t>
            </w:r>
          </w:p>
        </w:tc>
        <w:tc>
          <w:tcPr>
            <w:tcW w:w="1417" w:type="dxa"/>
          </w:tcPr>
          <w:p w:rsidR="00506580" w:rsidRPr="00506580" w:rsidRDefault="00506580" w:rsidP="00525EB2">
            <w:r>
              <w:t>BMI (KriSta3)</w:t>
            </w:r>
          </w:p>
        </w:tc>
        <w:tc>
          <w:tcPr>
            <w:tcW w:w="1284" w:type="dxa"/>
          </w:tcPr>
          <w:p w:rsidR="00506580" w:rsidRPr="00506580" w:rsidRDefault="00506580" w:rsidP="00525EB2"/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trHeight w:val="304"/>
        </w:trPr>
        <w:tc>
          <w:tcPr>
            <w:tcW w:w="710" w:type="dxa"/>
          </w:tcPr>
          <w:p w:rsidR="00506580" w:rsidRPr="00506580" w:rsidRDefault="00506580" w:rsidP="00525EB2">
            <w:pPr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Pr="00506580" w:rsidRDefault="00506580" w:rsidP="00525EB2">
            <w:r>
              <w:t xml:space="preserve">BMG beantragt beim </w:t>
            </w:r>
            <w:proofErr w:type="spellStart"/>
            <w:r>
              <w:t>BMWi</w:t>
            </w:r>
            <w:proofErr w:type="spellEnd"/>
            <w:r>
              <w:t xml:space="preserve"> für die Ausfuhr von Schutzausrüstung einen Genehmigungsvorbehalt nach dem AWG. Die Belange der WHO sollen bei der Bescheidung der Genehmigungsbehörde Berücksichtigung finden. Darüber hinaus werden sich BMG und </w:t>
            </w:r>
            <w:proofErr w:type="spellStart"/>
            <w:r>
              <w:t>BMWi</w:t>
            </w:r>
            <w:proofErr w:type="spellEnd"/>
            <w:r>
              <w:t xml:space="preserve"> bei der EU-KOM dafür einsetzen, dass diese Produkte auch den EU-Binnenwirtschaftsraum nicht mehr verlassen.</w:t>
            </w:r>
          </w:p>
        </w:tc>
        <w:tc>
          <w:tcPr>
            <w:tcW w:w="1417" w:type="dxa"/>
          </w:tcPr>
          <w:p w:rsidR="00506580" w:rsidRPr="00506580" w:rsidRDefault="00506580" w:rsidP="00525EB2">
            <w:r>
              <w:t xml:space="preserve">BMG, </w:t>
            </w:r>
            <w:proofErr w:type="spellStart"/>
            <w:r>
              <w:t>BMWi</w:t>
            </w:r>
            <w:proofErr w:type="spellEnd"/>
          </w:p>
        </w:tc>
        <w:tc>
          <w:tcPr>
            <w:tcW w:w="1284" w:type="dxa"/>
          </w:tcPr>
          <w:p w:rsidR="00506580" w:rsidRPr="00506580" w:rsidRDefault="00506580" w:rsidP="00525EB2"/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10" w:type="dxa"/>
          </w:tcPr>
          <w:p w:rsidR="00506580" w:rsidRPr="00506580" w:rsidRDefault="00506580" w:rsidP="00525EB2">
            <w:pPr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Default="00506580" w:rsidP="00506580">
            <w:r>
              <w:t>Alle Teilnehmer des KriSta votieren für eine zentrale Beschaffung und Bevorratung von Schutzausstattung. BMG hat die Empfehlungen für Trageintervalle bereits verlängert.</w:t>
            </w:r>
          </w:p>
          <w:p w:rsidR="00506580" w:rsidRPr="00506580" w:rsidRDefault="00506580" w:rsidP="00506580">
            <w:r>
              <w:t>Gemeinsam beschaffen die Beschaffungsämter (</w:t>
            </w:r>
            <w:proofErr w:type="spellStart"/>
            <w:r>
              <w:t>BeschA</w:t>
            </w:r>
            <w:proofErr w:type="spellEnd"/>
            <w:r>
              <w:t xml:space="preserve">) </w:t>
            </w:r>
            <w:proofErr w:type="spellStart"/>
            <w:r>
              <w:t>BAInBw</w:t>
            </w:r>
            <w:proofErr w:type="spellEnd"/>
            <w:r>
              <w:t xml:space="preserve"> (Bundeswehr), </w:t>
            </w:r>
            <w:proofErr w:type="spellStart"/>
            <w:r>
              <w:t>BeschA</w:t>
            </w:r>
            <w:proofErr w:type="spellEnd"/>
            <w:r>
              <w:t xml:space="preserve"> des BMI sowie das Zoll-</w:t>
            </w:r>
            <w:proofErr w:type="spellStart"/>
            <w:r>
              <w:t>BeschA</w:t>
            </w:r>
            <w:proofErr w:type="spellEnd"/>
            <w:r>
              <w:t xml:space="preserve"> </w:t>
            </w:r>
            <w:r>
              <w:lastRenderedPageBreak/>
              <w:t xml:space="preserve">Schutzausstattung im definierten Umfang. Diese drei </w:t>
            </w:r>
            <w:proofErr w:type="spellStart"/>
            <w:r>
              <w:t>BeschA</w:t>
            </w:r>
            <w:proofErr w:type="spellEnd"/>
            <w:r>
              <w:t xml:space="preserve"> stimmen sich bei diesen Beschaffungen untereinander ab.</w:t>
            </w:r>
          </w:p>
        </w:tc>
        <w:tc>
          <w:tcPr>
            <w:tcW w:w="1417" w:type="dxa"/>
          </w:tcPr>
          <w:p w:rsidR="00506580" w:rsidRPr="00506580" w:rsidRDefault="00A078C7" w:rsidP="00525EB2">
            <w:proofErr w:type="spellStart"/>
            <w:r>
              <w:lastRenderedPageBreak/>
              <w:t>BMVg</w:t>
            </w:r>
            <w:proofErr w:type="spellEnd"/>
            <w:r>
              <w:t>,</w:t>
            </w:r>
            <w:r w:rsidR="00506580">
              <w:t xml:space="preserve"> BMF</w:t>
            </w:r>
            <w:r>
              <w:t>, BMI (KriSta4)</w:t>
            </w:r>
          </w:p>
        </w:tc>
        <w:tc>
          <w:tcPr>
            <w:tcW w:w="1284" w:type="dxa"/>
          </w:tcPr>
          <w:p w:rsidR="00506580" w:rsidRPr="00506580" w:rsidRDefault="00506580" w:rsidP="00525EB2">
            <w:r>
              <w:t>03.03.20 KriSta Sitzung</w:t>
            </w:r>
          </w:p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trHeight w:val="304"/>
        </w:trPr>
        <w:tc>
          <w:tcPr>
            <w:tcW w:w="710" w:type="dxa"/>
          </w:tcPr>
          <w:p w:rsidR="00506580" w:rsidRDefault="00506580" w:rsidP="00525EB2">
            <w:pPr>
              <w:rPr>
                <w:b/>
              </w:rPr>
            </w:pPr>
            <w:r>
              <w:rPr>
                <w:b/>
              </w:rPr>
              <w:lastRenderedPageBreak/>
              <w:t>9.3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Default="00506580" w:rsidP="00506580">
            <w:r>
              <w:t xml:space="preserve">Jedes Ressort erhebt für sich und für seinen Geschäfts-bereich nach Abfrage den </w:t>
            </w:r>
            <w:proofErr w:type="spellStart"/>
            <w:r>
              <w:t>IST-Bestand</w:t>
            </w:r>
            <w:proofErr w:type="spellEnd"/>
            <w:r>
              <w:t xml:space="preserve"> an Schutzausstattung und meldet weiteren zusätzlichen Bedarf für einen Zeitraum von sechs Monate an das BMG.</w:t>
            </w:r>
          </w:p>
        </w:tc>
        <w:tc>
          <w:tcPr>
            <w:tcW w:w="1417" w:type="dxa"/>
          </w:tcPr>
          <w:p w:rsidR="00506580" w:rsidRDefault="00506580" w:rsidP="00506580">
            <w:r>
              <w:t>Alle Ressorts,</w:t>
            </w:r>
          </w:p>
          <w:p w:rsidR="00506580" w:rsidRDefault="00A078C7" w:rsidP="00506580">
            <w:r>
              <w:t>BMI (</w:t>
            </w:r>
            <w:r w:rsidR="00506580">
              <w:t>KriSta5</w:t>
            </w:r>
            <w:r>
              <w:t>)</w:t>
            </w:r>
          </w:p>
        </w:tc>
        <w:tc>
          <w:tcPr>
            <w:tcW w:w="1284" w:type="dxa"/>
          </w:tcPr>
          <w:p w:rsidR="00506580" w:rsidRDefault="00506580" w:rsidP="00525EB2">
            <w:r>
              <w:t xml:space="preserve">03.03.20 </w:t>
            </w:r>
            <w:proofErr w:type="spellStart"/>
            <w:r>
              <w:t>KriSta</w:t>
            </w:r>
            <w:proofErr w:type="spellEnd"/>
            <w:r>
              <w:t xml:space="preserve"> </w:t>
            </w:r>
            <w:proofErr w:type="spellStart"/>
            <w:r>
              <w:t>Situng</w:t>
            </w:r>
            <w:proofErr w:type="spellEnd"/>
          </w:p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10" w:type="dxa"/>
          </w:tcPr>
          <w:p w:rsidR="00506580" w:rsidRDefault="00506580" w:rsidP="00525EB2">
            <w:pPr>
              <w:rPr>
                <w:b/>
              </w:rPr>
            </w:pPr>
            <w:r>
              <w:rPr>
                <w:b/>
              </w:rPr>
              <w:t>9.4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Default="00506580" w:rsidP="00506580">
            <w:r>
              <w:t>Das BMG ist zentrale Stelle für die Abfrage anderer Bedarfsträger (Krankenhäuser, Arztpraxen, etc.), erhebt die bestehenden Gesamtbestände der o. a. Bedarfsträger und berücksichtigt die Prioritäten bei der Aufgabenerfüllung und Zuweisung.</w:t>
            </w:r>
          </w:p>
        </w:tc>
        <w:tc>
          <w:tcPr>
            <w:tcW w:w="1417" w:type="dxa"/>
          </w:tcPr>
          <w:p w:rsidR="00506580" w:rsidRDefault="00506580" w:rsidP="00525EB2">
            <w:r>
              <w:t>BMG</w:t>
            </w:r>
          </w:p>
        </w:tc>
        <w:tc>
          <w:tcPr>
            <w:tcW w:w="1284" w:type="dxa"/>
          </w:tcPr>
          <w:p w:rsidR="00506580" w:rsidRDefault="00506580" w:rsidP="00525EB2"/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trHeight w:val="304"/>
        </w:trPr>
        <w:tc>
          <w:tcPr>
            <w:tcW w:w="710" w:type="dxa"/>
          </w:tcPr>
          <w:p w:rsidR="00506580" w:rsidRDefault="00506580" w:rsidP="00525EB2">
            <w:pPr>
              <w:rPr>
                <w:b/>
              </w:rPr>
            </w:pPr>
            <w:r>
              <w:rPr>
                <w:b/>
              </w:rPr>
              <w:t>9.5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Default="00506580" w:rsidP="00506580">
            <w:proofErr w:type="spellStart"/>
            <w:r>
              <w:t>BMWi</w:t>
            </w:r>
            <w:proofErr w:type="spellEnd"/>
            <w:r>
              <w:t xml:space="preserve"> erhebt die in der freien Wirtschaft vorhandenen Bestände von Schutzausstattung.</w:t>
            </w:r>
          </w:p>
        </w:tc>
        <w:tc>
          <w:tcPr>
            <w:tcW w:w="1417" w:type="dxa"/>
          </w:tcPr>
          <w:p w:rsidR="00506580" w:rsidRDefault="00506580" w:rsidP="00525EB2">
            <w:proofErr w:type="spellStart"/>
            <w:r>
              <w:t>BMWi</w:t>
            </w:r>
            <w:proofErr w:type="spellEnd"/>
          </w:p>
        </w:tc>
        <w:tc>
          <w:tcPr>
            <w:tcW w:w="1284" w:type="dxa"/>
          </w:tcPr>
          <w:p w:rsidR="00506580" w:rsidRDefault="00506580" w:rsidP="00525EB2"/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710" w:type="dxa"/>
          </w:tcPr>
          <w:p w:rsidR="00506580" w:rsidRDefault="00506580" w:rsidP="00525EB2">
            <w:pPr>
              <w:rPr>
                <w:b/>
              </w:rPr>
            </w:pPr>
            <w:r>
              <w:rPr>
                <w:b/>
              </w:rPr>
              <w:t>9.6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Default="00506580" w:rsidP="00506580">
            <w:r>
              <w:t xml:space="preserve">BMI steht im ständigen Austausch mit den Ländern, wonach als </w:t>
            </w:r>
            <w:proofErr w:type="spellStart"/>
            <w:r>
              <w:t>ultima</w:t>
            </w:r>
            <w:proofErr w:type="spellEnd"/>
            <w:r>
              <w:t xml:space="preserve"> </w:t>
            </w:r>
            <w:proofErr w:type="spellStart"/>
            <w:r>
              <w:t>ratio</w:t>
            </w:r>
            <w:proofErr w:type="spellEnd"/>
            <w:r>
              <w:t xml:space="preserve"> unter bestimmten Umständen nach den allgemeinpolizeilichen Generalklauseln der </w:t>
            </w:r>
            <w:proofErr w:type="spellStart"/>
            <w:r>
              <w:t>Länderpolizeien</w:t>
            </w:r>
            <w:proofErr w:type="spellEnd"/>
            <w:r>
              <w:t xml:space="preserve"> Nichtstörer (z.B. Hersteller oder Händler von Schutzausstattungen, Medikamenten o.ä.) zur Zurverfügungstellung von relevanten Materialien herangezogen werden können (Beschaffungsmöglichkeiten unterhalb der Schwelle hoheitlicher Zwangsmaßnahmen ausgeschöpft). BMG/</w:t>
            </w:r>
            <w:proofErr w:type="spellStart"/>
            <w:r>
              <w:t>BMWi</w:t>
            </w:r>
            <w:proofErr w:type="spellEnd"/>
            <w:r>
              <w:t xml:space="preserve"> werden BMI eine Liste der Hersteller und Händler übermitteln.</w:t>
            </w:r>
          </w:p>
        </w:tc>
        <w:tc>
          <w:tcPr>
            <w:tcW w:w="1417" w:type="dxa"/>
          </w:tcPr>
          <w:p w:rsidR="00506580" w:rsidRDefault="00506580" w:rsidP="00525EB2">
            <w:r>
              <w:t xml:space="preserve">BMG, </w:t>
            </w:r>
            <w:proofErr w:type="spellStart"/>
            <w:r>
              <w:t>BMWi</w:t>
            </w:r>
            <w:proofErr w:type="spellEnd"/>
            <w:r>
              <w:t>, BMI</w:t>
            </w:r>
            <w:r w:rsidR="00B87490">
              <w:t xml:space="preserve"> </w:t>
            </w:r>
            <w:r>
              <w:t>(KriSta1)</w:t>
            </w:r>
          </w:p>
        </w:tc>
        <w:tc>
          <w:tcPr>
            <w:tcW w:w="1284" w:type="dxa"/>
          </w:tcPr>
          <w:p w:rsidR="00506580" w:rsidRDefault="00506580" w:rsidP="00525EB2"/>
        </w:tc>
        <w:tc>
          <w:tcPr>
            <w:tcW w:w="1843" w:type="dxa"/>
          </w:tcPr>
          <w:p w:rsidR="00506580" w:rsidRPr="00506580" w:rsidRDefault="00506580" w:rsidP="00525EB2"/>
        </w:tc>
      </w:tr>
      <w:tr w:rsidR="00506580" w:rsidRPr="00506580" w:rsidTr="00506580">
        <w:trPr>
          <w:trHeight w:val="304"/>
        </w:trPr>
        <w:tc>
          <w:tcPr>
            <w:tcW w:w="710" w:type="dxa"/>
          </w:tcPr>
          <w:p w:rsidR="00506580" w:rsidRDefault="00506580" w:rsidP="00525EB2">
            <w:pPr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1083" w:type="dxa"/>
          </w:tcPr>
          <w:p w:rsidR="00506580" w:rsidRPr="00506580" w:rsidRDefault="00506580" w:rsidP="00525EB2">
            <w:r w:rsidRPr="00506580">
              <w:t>28.2. KriSta-Sitzung</w:t>
            </w:r>
          </w:p>
        </w:tc>
        <w:tc>
          <w:tcPr>
            <w:tcW w:w="7705" w:type="dxa"/>
          </w:tcPr>
          <w:p w:rsidR="00506580" w:rsidRDefault="00506580" w:rsidP="00506580">
            <w:r>
              <w:t xml:space="preserve">Es ergeht deshalb ein Appell an alle Ressorts, geeignete Quarantäne-Liegenschaften an das BMG zu melden. BMF prüft geeignete Liegenschaften mit der </w:t>
            </w:r>
            <w:proofErr w:type="spellStart"/>
            <w:r>
              <w:t>BImA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506580" w:rsidRDefault="00506580" w:rsidP="00525EB2">
            <w:r>
              <w:t>Alle Ressorts, für BMI – KriSta5/Abt. Z</w:t>
            </w:r>
          </w:p>
        </w:tc>
        <w:tc>
          <w:tcPr>
            <w:tcW w:w="1284" w:type="dxa"/>
          </w:tcPr>
          <w:p w:rsidR="00506580" w:rsidRDefault="00506580" w:rsidP="00506580">
            <w:r>
              <w:t>05.03.20</w:t>
            </w:r>
          </w:p>
          <w:p w:rsidR="00506580" w:rsidRDefault="00506580" w:rsidP="00506580">
            <w:r>
              <w:t>12:00 Uhr</w:t>
            </w:r>
          </w:p>
        </w:tc>
        <w:tc>
          <w:tcPr>
            <w:tcW w:w="1843" w:type="dxa"/>
          </w:tcPr>
          <w:p w:rsidR="00506580" w:rsidRPr="00506580" w:rsidRDefault="00506580" w:rsidP="00525EB2"/>
        </w:tc>
      </w:tr>
    </w:tbl>
    <w:p w:rsidR="00525EB2" w:rsidRPr="00506580" w:rsidRDefault="00525EB2" w:rsidP="00525EB2"/>
    <w:sectPr w:rsidR="00525EB2" w:rsidRPr="00506580" w:rsidSect="00A71687">
      <w:headerReference w:type="default" r:id="rId7"/>
      <w:footerReference w:type="default" r:id="rId8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8F" w:rsidRDefault="001F4E8F" w:rsidP="001F4E8F">
      <w:pPr>
        <w:spacing w:after="0" w:line="240" w:lineRule="auto"/>
      </w:pPr>
      <w:r>
        <w:separator/>
      </w:r>
    </w:p>
  </w:endnote>
  <w:endnote w:type="continuationSeparator" w:id="0">
    <w:p w:rsidR="001F4E8F" w:rsidRDefault="001F4E8F" w:rsidP="001F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8F" w:rsidRPr="00DC70F0" w:rsidRDefault="001F4E8F" w:rsidP="001F4E8F">
    <w:pPr>
      <w:pStyle w:val="Fuzeile"/>
      <w:jc w:val="center"/>
      <w:rPr>
        <w:sz w:val="36"/>
      </w:rPr>
    </w:pPr>
    <w:r w:rsidRPr="00DC70F0">
      <w:rPr>
        <w:sz w:val="36"/>
      </w:rPr>
      <w:t>VS-</w:t>
    </w:r>
    <w:proofErr w:type="spellStart"/>
    <w:r w:rsidRPr="00DC70F0">
      <w:rPr>
        <w:sz w:val="36"/>
      </w:rPr>
      <w:t>NfD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8F" w:rsidRDefault="001F4E8F" w:rsidP="001F4E8F">
      <w:pPr>
        <w:spacing w:after="0" w:line="240" w:lineRule="auto"/>
      </w:pPr>
      <w:r>
        <w:separator/>
      </w:r>
    </w:p>
  </w:footnote>
  <w:footnote w:type="continuationSeparator" w:id="0">
    <w:p w:rsidR="001F4E8F" w:rsidRDefault="001F4E8F" w:rsidP="001F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8F" w:rsidRPr="001F4E8F" w:rsidRDefault="001F4E8F" w:rsidP="001F4E8F">
    <w:pPr>
      <w:pStyle w:val="Kopfzeile"/>
      <w:jc w:val="center"/>
      <w:rPr>
        <w:sz w:val="36"/>
      </w:rPr>
    </w:pPr>
    <w:r>
      <w:rPr>
        <w:sz w:val="36"/>
      </w:rPr>
      <w:t>VS-</w:t>
    </w:r>
    <w:proofErr w:type="spellStart"/>
    <w:r>
      <w:rPr>
        <w:sz w:val="36"/>
      </w:rPr>
      <w:t>NfD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E5"/>
    <w:rsid w:val="001F4E8F"/>
    <w:rsid w:val="002638E5"/>
    <w:rsid w:val="003F097B"/>
    <w:rsid w:val="004E4172"/>
    <w:rsid w:val="00506580"/>
    <w:rsid w:val="00525EB2"/>
    <w:rsid w:val="005B22FD"/>
    <w:rsid w:val="00A078C7"/>
    <w:rsid w:val="00A71687"/>
    <w:rsid w:val="00AB333A"/>
    <w:rsid w:val="00B87490"/>
    <w:rsid w:val="00D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eTabelle"/>
    <w:uiPriority w:val="46"/>
    <w:rsid w:val="00525E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525E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F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E8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F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E8F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eTabelle"/>
    <w:uiPriority w:val="46"/>
    <w:rsid w:val="00525E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eTabelle"/>
    <w:uiPriority w:val="47"/>
    <w:rsid w:val="00525E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F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4E8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F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4E8F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KriSta, 11</dc:creator>
  <cp:lastModifiedBy>Marquis, Adine</cp:lastModifiedBy>
  <cp:revision>2</cp:revision>
  <dcterms:created xsi:type="dcterms:W3CDTF">2020-03-03T10:27:00Z</dcterms:created>
  <dcterms:modified xsi:type="dcterms:W3CDTF">2020-03-03T10:27:00Z</dcterms:modified>
</cp:coreProperties>
</file>