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Krisenstab-Sitzung „Neuartiges Coronavirus (COVID-19)-Lage“</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sz w:val="22"/>
            </w:rPr>
            <w:t>06.03.2020, 13:00-15:00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RKI, Lagezentrum Besprechungsraum</w:t>
          </w:r>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 Lothar Wieler (per Telefon)</w:t>
      </w:r>
    </w:p>
    <w:p>
      <w:pPr>
        <w:pStyle w:val="Listenabsatz"/>
        <w:numPr>
          <w:ilvl w:val="0"/>
          <w:numId w:val="2"/>
        </w:numPr>
        <w:spacing w:after="0"/>
        <w:contextualSpacing w:val="0"/>
        <w:rPr>
          <w:sz w:val="22"/>
        </w:rPr>
      </w:pPr>
      <w:r>
        <w:rPr>
          <w:sz w:val="22"/>
        </w:rPr>
        <w:t>Abt. 1 Leitung</w:t>
      </w:r>
    </w:p>
    <w:p>
      <w:pPr>
        <w:pStyle w:val="Listenabsatz"/>
        <w:numPr>
          <w:ilvl w:val="1"/>
          <w:numId w:val="2"/>
        </w:numPr>
        <w:spacing w:after="0"/>
        <w:contextualSpacing w:val="0"/>
        <w:rPr>
          <w:sz w:val="22"/>
        </w:rPr>
      </w:pPr>
      <w:r>
        <w:rPr>
          <w:sz w:val="22"/>
        </w:rPr>
        <w:t>Martin Mielke</w:t>
      </w:r>
    </w:p>
    <w:p>
      <w:pPr>
        <w:pStyle w:val="Listenabsatz"/>
        <w:numPr>
          <w:ilvl w:val="0"/>
          <w:numId w:val="2"/>
        </w:numPr>
        <w:spacing w:after="0"/>
        <w:contextualSpacing w:val="0"/>
        <w:rPr>
          <w:sz w:val="22"/>
        </w:rPr>
      </w:pPr>
      <w:r>
        <w:rPr>
          <w:sz w:val="22"/>
        </w:rPr>
        <w:t>Abt. 3 Leitung</w:t>
      </w:r>
    </w:p>
    <w:p>
      <w:pPr>
        <w:pStyle w:val="Listenabsatz"/>
        <w:numPr>
          <w:ilvl w:val="1"/>
          <w:numId w:val="2"/>
        </w:numPr>
        <w:spacing w:after="0"/>
        <w:contextualSpacing w:val="0"/>
        <w:rPr>
          <w:sz w:val="22"/>
        </w:rPr>
      </w:pPr>
      <w:r>
        <w:rPr>
          <w:sz w:val="22"/>
        </w:rPr>
        <w:t>Osamah Hamouda</w:t>
      </w:r>
    </w:p>
    <w:p>
      <w:pPr>
        <w:pStyle w:val="Listenabsatz"/>
        <w:numPr>
          <w:ilvl w:val="0"/>
          <w:numId w:val="2"/>
        </w:numPr>
        <w:spacing w:after="0"/>
        <w:contextualSpacing w:val="0"/>
        <w:rPr>
          <w:sz w:val="22"/>
        </w:rPr>
      </w:pPr>
      <w:r>
        <w:rPr>
          <w:sz w:val="22"/>
        </w:rPr>
        <w:t>ZIG Leitung</w:t>
      </w:r>
    </w:p>
    <w:p>
      <w:pPr>
        <w:pStyle w:val="Listenabsatz"/>
        <w:numPr>
          <w:ilvl w:val="1"/>
          <w:numId w:val="2"/>
        </w:numPr>
        <w:spacing w:after="0"/>
        <w:contextualSpacing w:val="0"/>
        <w:rPr>
          <w:sz w:val="22"/>
        </w:rPr>
      </w:pPr>
      <w:r>
        <w:rPr>
          <w:sz w:val="22"/>
        </w:rPr>
        <w:t>Johanna Hanefeld</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4"/>
        </w:numPr>
        <w:spacing w:after="0"/>
        <w:contextualSpacing w:val="0"/>
        <w:rPr>
          <w:sz w:val="22"/>
        </w:rPr>
      </w:pPr>
      <w:r>
        <w:rPr>
          <w:sz w:val="22"/>
        </w:rPr>
        <w:t>FG17</w:t>
      </w:r>
    </w:p>
    <w:p>
      <w:pPr>
        <w:pStyle w:val="Listenabsatz"/>
        <w:numPr>
          <w:ilvl w:val="1"/>
          <w:numId w:val="4"/>
        </w:numPr>
        <w:spacing w:after="0"/>
        <w:contextualSpacing w:val="0"/>
        <w:rPr>
          <w:sz w:val="22"/>
        </w:rPr>
      </w:pPr>
      <w:r>
        <w:rPr>
          <w:sz w:val="22"/>
        </w:rPr>
        <w:t xml:space="preserve">Thorsten Wolff </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lang w:val="en-GB"/>
        </w:rPr>
      </w:pPr>
      <w:r>
        <w:rPr>
          <w:sz w:val="22"/>
          <w:lang w:val="en-GB"/>
        </w:rPr>
        <w:t xml:space="preserve">Ute Rexroth </w:t>
      </w:r>
    </w:p>
    <w:p>
      <w:pPr>
        <w:pStyle w:val="Listenabsatz"/>
        <w:numPr>
          <w:ilvl w:val="0"/>
          <w:numId w:val="2"/>
        </w:numPr>
        <w:spacing w:after="0"/>
        <w:contextualSpacing w:val="0"/>
        <w:rPr>
          <w:sz w:val="22"/>
        </w:rPr>
      </w:pPr>
      <w:r>
        <w:rPr>
          <w:sz w:val="22"/>
        </w:rPr>
        <w:t>FG 32</w:t>
      </w:r>
      <w:r>
        <w:rPr>
          <w:sz w:val="22"/>
        </w:rPr>
        <w:tab/>
      </w:r>
    </w:p>
    <w:p>
      <w:pPr>
        <w:pStyle w:val="Listenabsatz"/>
        <w:numPr>
          <w:ilvl w:val="1"/>
          <w:numId w:val="2"/>
        </w:numPr>
        <w:spacing w:after="0"/>
        <w:contextualSpacing w:val="0"/>
        <w:rPr>
          <w:sz w:val="22"/>
        </w:rPr>
      </w:pPr>
      <w:r>
        <w:rPr>
          <w:sz w:val="22"/>
        </w:rPr>
        <w:t>Andrea Sailer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Walter Haas</w:t>
      </w:r>
    </w:p>
    <w:p>
      <w:pPr>
        <w:pStyle w:val="Listenabsatz"/>
        <w:numPr>
          <w:ilvl w:val="0"/>
          <w:numId w:val="4"/>
        </w:numPr>
        <w:spacing w:after="0"/>
        <w:contextualSpacing w:val="0"/>
        <w:rPr>
          <w:sz w:val="22"/>
        </w:rPr>
      </w:pPr>
      <w:r>
        <w:rPr>
          <w:sz w:val="22"/>
        </w:rPr>
        <w:t>FG37</w:t>
      </w:r>
    </w:p>
    <w:p>
      <w:pPr>
        <w:pStyle w:val="Listenabsatz"/>
        <w:numPr>
          <w:ilvl w:val="1"/>
          <w:numId w:val="4"/>
        </w:numPr>
        <w:spacing w:after="0"/>
        <w:contextualSpacing w:val="0"/>
        <w:rPr>
          <w:sz w:val="22"/>
        </w:rPr>
      </w:pPr>
      <w:r>
        <w:rPr>
          <w:sz w:val="22"/>
        </w:rPr>
        <w:t>Muna Abu Sin, Niklas Willrich</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Bettina Ruehe</w:t>
      </w:r>
    </w:p>
    <w:p>
      <w:pPr>
        <w:pStyle w:val="Listenabsatz"/>
        <w:numPr>
          <w:ilvl w:val="0"/>
          <w:numId w:val="4"/>
        </w:numPr>
        <w:spacing w:after="0"/>
        <w:contextualSpacing w:val="0"/>
        <w:rPr>
          <w:sz w:val="22"/>
        </w:rPr>
      </w:pPr>
      <w:r>
        <w:rPr>
          <w:sz w:val="22"/>
        </w:rPr>
        <w:t>Presse</w:t>
      </w:r>
    </w:p>
    <w:p>
      <w:pPr>
        <w:pStyle w:val="Listenabsatz"/>
        <w:numPr>
          <w:ilvl w:val="1"/>
          <w:numId w:val="2"/>
        </w:numPr>
        <w:spacing w:after="0"/>
        <w:contextualSpacing w:val="0"/>
        <w:rPr>
          <w:sz w:val="22"/>
        </w:rPr>
      </w:pPr>
      <w:r>
        <w:rPr>
          <w:sz w:val="22"/>
        </w:rPr>
        <w:t>Maud Hennequin</w:t>
      </w:r>
    </w:p>
    <w:p>
      <w:pPr>
        <w:pStyle w:val="Listenabsatz"/>
        <w:numPr>
          <w:ilvl w:val="0"/>
          <w:numId w:val="6"/>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Janine Michel, Andreas Nitsche (per Telefon)</w:t>
      </w:r>
    </w:p>
    <w:p>
      <w:pPr>
        <w:pStyle w:val="Listenabsatz"/>
        <w:numPr>
          <w:ilvl w:val="0"/>
          <w:numId w:val="2"/>
        </w:numPr>
        <w:spacing w:after="0"/>
        <w:contextualSpacing w:val="0"/>
        <w:rPr>
          <w:sz w:val="22"/>
        </w:rPr>
      </w:pPr>
      <w:r>
        <w:rPr>
          <w:sz w:val="22"/>
        </w:rPr>
        <w:t>INIG</w:t>
      </w:r>
    </w:p>
    <w:p>
      <w:pPr>
        <w:pStyle w:val="Listenabsatz"/>
        <w:numPr>
          <w:ilvl w:val="1"/>
          <w:numId w:val="2"/>
        </w:numPr>
        <w:spacing w:after="120"/>
        <w:ind w:left="1434" w:hanging="357"/>
        <w:contextualSpacing w:val="0"/>
        <w:rPr>
          <w:sz w:val="22"/>
        </w:rPr>
      </w:pPr>
      <w:r>
        <w:rPr>
          <w:sz w:val="22"/>
        </w:rPr>
        <w:t>Basel Karo</w:t>
      </w:r>
    </w:p>
    <w:p>
      <w:pPr>
        <w:pStyle w:val="Listenabsatz"/>
        <w:numPr>
          <w:ilvl w:val="0"/>
          <w:numId w:val="2"/>
        </w:numPr>
        <w:spacing w:after="0"/>
        <w:contextualSpacing w:val="0"/>
        <w:rPr>
          <w:sz w:val="22"/>
        </w:rPr>
      </w:pPr>
      <w:r>
        <w:rPr>
          <w:sz w:val="22"/>
        </w:rPr>
        <w:t>BZGA : Herr Ommen (per Telefon)</w:t>
      </w:r>
    </w:p>
    <w:p>
      <w:pPr>
        <w:spacing w:after="0"/>
      </w:pPr>
      <w:r>
        <w:br w:type="page"/>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rPr>
                <w:b/>
                <w:sz w:val="28"/>
              </w:rPr>
            </w:pPr>
            <w:r>
              <w:rPr>
                <w:b/>
                <w:sz w:val="28"/>
              </w:rPr>
              <w:t xml:space="preserve">Aktuelle Lage </w:t>
            </w:r>
          </w:p>
          <w:p>
            <w:pPr>
              <w:rPr>
                <w:b/>
                <w:sz w:val="22"/>
                <w:szCs w:val="22"/>
              </w:rPr>
            </w:pPr>
            <w:r>
              <w:rPr>
                <w:b/>
                <w:sz w:val="22"/>
                <w:szCs w:val="22"/>
              </w:rPr>
              <w:t xml:space="preserve">International </w:t>
            </w:r>
          </w:p>
          <w:p>
            <w:pPr>
              <w:pStyle w:val="Listenabsatz"/>
              <w:numPr>
                <w:ilvl w:val="0"/>
                <w:numId w:val="8"/>
              </w:numPr>
              <w:rPr>
                <w:sz w:val="22"/>
                <w:szCs w:val="22"/>
              </w:rPr>
            </w:pPr>
            <w:r>
              <w:rPr>
                <w:sz w:val="22"/>
                <w:szCs w:val="22"/>
              </w:rPr>
              <w:t>Fälle</w:t>
            </w:r>
          </w:p>
          <w:p>
            <w:pPr>
              <w:pStyle w:val="Listenabsatz"/>
              <w:numPr>
                <w:ilvl w:val="1"/>
                <w:numId w:val="8"/>
              </w:numPr>
              <w:rPr>
                <w:sz w:val="22"/>
                <w:szCs w:val="22"/>
              </w:rPr>
            </w:pPr>
            <w:r>
              <w:rPr>
                <w:sz w:val="22"/>
                <w:szCs w:val="22"/>
              </w:rPr>
              <w:t>Weltweit 98.120 (+2.707), davon 3.388 Todesfälle (+103), Fallsterberate 3,5%</w:t>
            </w:r>
          </w:p>
          <w:p>
            <w:pPr>
              <w:pStyle w:val="Listenabsatz"/>
              <w:numPr>
                <w:ilvl w:val="1"/>
                <w:numId w:val="8"/>
              </w:numPr>
              <w:rPr>
                <w:sz w:val="22"/>
                <w:szCs w:val="22"/>
              </w:rPr>
            </w:pPr>
            <w:r>
              <w:rPr>
                <w:sz w:val="22"/>
                <w:szCs w:val="22"/>
              </w:rPr>
              <w:t>China (inkl. Hongkong und Macau) 80.667 (+147) Fälle, davon 3.044 (+30) Todesfälle, Fallsterberate 3,8%, &gt;5744 schwere Krankheitsverläufe</w:t>
            </w:r>
          </w:p>
          <w:p>
            <w:pPr>
              <w:pStyle w:val="Listenabsatz"/>
              <w:numPr>
                <w:ilvl w:val="1"/>
                <w:numId w:val="8"/>
              </w:numPr>
              <w:rPr>
                <w:sz w:val="22"/>
                <w:szCs w:val="22"/>
              </w:rPr>
            </w:pPr>
            <w:r>
              <w:rPr>
                <w:sz w:val="22"/>
                <w:szCs w:val="22"/>
              </w:rPr>
              <w:t>Provinz Hubei 67.592 (+126) Fälle, 2.931 (+29) Todesfälle, Fallsterberate 4,3%, 5.588 schwere Krankheitsverläufe</w:t>
            </w:r>
          </w:p>
          <w:p>
            <w:pPr>
              <w:pStyle w:val="Listenabsatz"/>
              <w:numPr>
                <w:ilvl w:val="1"/>
                <w:numId w:val="8"/>
              </w:numPr>
              <w:rPr>
                <w:sz w:val="22"/>
                <w:szCs w:val="22"/>
              </w:rPr>
            </w:pPr>
            <w:r>
              <w:rPr>
                <w:sz w:val="22"/>
                <w:szCs w:val="22"/>
              </w:rPr>
              <w:t xml:space="preserve">International (ohne China, mit Taiwan) 80 Länder mit 14.893 (+2.215) Fällen, davon 271 Todesfälle, Fallsterberate 1,8%, ≥419 schwere Krankheitsverläufe </w:t>
            </w:r>
          </w:p>
          <w:p>
            <w:pPr>
              <w:pStyle w:val="Listenabsatz"/>
              <w:numPr>
                <w:ilvl w:val="2"/>
                <w:numId w:val="8"/>
              </w:numPr>
              <w:rPr>
                <w:sz w:val="22"/>
                <w:szCs w:val="22"/>
              </w:rPr>
            </w:pPr>
            <w:r>
              <w:rPr>
                <w:sz w:val="22"/>
                <w:szCs w:val="22"/>
              </w:rPr>
              <w:t>Mehr als 10 neue Fälle in: Italien (+796), Iran (+591), Südkorea (+518), Frankreich (+138), Deutschland (+138), USA (+64), Spanien (+46), Niederlande (+44), Schweden (+38), Vereinigtes Königreich (+31), Belgien (+27), Griechenland (+23), Japan (+19), Norwegen (+16), Kanada (+14)</w:t>
            </w:r>
          </w:p>
          <w:p>
            <w:pPr>
              <w:pStyle w:val="Listenabsatz"/>
              <w:numPr>
                <w:ilvl w:val="1"/>
                <w:numId w:val="8"/>
              </w:numPr>
              <w:rPr>
                <w:sz w:val="22"/>
                <w:szCs w:val="22"/>
              </w:rPr>
            </w:pPr>
            <w:r>
              <w:rPr>
                <w:sz w:val="22"/>
                <w:szCs w:val="22"/>
              </w:rPr>
              <w:t>WHO EURO Region 4.354 Fälle (+976), davon 114 (+29) Todesfälle, Fallsterberate 2,6%, 324 schwere Krankheitsverläufe</w:t>
            </w:r>
          </w:p>
          <w:p>
            <w:pPr>
              <w:pStyle w:val="Listenabsatz"/>
              <w:numPr>
                <w:ilvl w:val="0"/>
                <w:numId w:val="8"/>
              </w:numPr>
              <w:rPr>
                <w:sz w:val="22"/>
                <w:szCs w:val="22"/>
              </w:rPr>
            </w:pPr>
            <w:r>
              <w:rPr>
                <w:sz w:val="22"/>
                <w:szCs w:val="22"/>
              </w:rPr>
              <w:t xml:space="preserve">Trendanalyse (Folien </w:t>
            </w:r>
            <w:hyperlink r:id="rId8" w:history="1">
              <w:r>
                <w:rPr>
                  <w:rStyle w:val="Hyperlink"/>
                  <w:sz w:val="22"/>
                  <w:szCs w:val="22"/>
                </w:rPr>
                <w:t>hier</w:t>
              </w:r>
            </w:hyperlink>
            <w:r>
              <w:rPr>
                <w:sz w:val="22"/>
                <w:szCs w:val="22"/>
              </w:rPr>
              <w:t>)</w:t>
            </w:r>
          </w:p>
          <w:p>
            <w:pPr>
              <w:pStyle w:val="Listenabsatz"/>
              <w:numPr>
                <w:ilvl w:val="1"/>
                <w:numId w:val="8"/>
              </w:numPr>
              <w:rPr>
                <w:sz w:val="22"/>
                <w:szCs w:val="22"/>
              </w:rPr>
            </w:pPr>
            <w:r>
              <w:rPr>
                <w:sz w:val="22"/>
                <w:szCs w:val="22"/>
              </w:rPr>
              <w:t>Die meisten Fälle außerhalb Chinas weiterhin in Südkorea, Italien, Iran.</w:t>
            </w:r>
          </w:p>
          <w:p>
            <w:pPr>
              <w:pStyle w:val="Listenabsatz"/>
              <w:numPr>
                <w:ilvl w:val="1"/>
                <w:numId w:val="8"/>
              </w:numPr>
              <w:rPr>
                <w:sz w:val="22"/>
                <w:szCs w:val="22"/>
              </w:rPr>
            </w:pPr>
            <w:r>
              <w:rPr>
                <w:sz w:val="22"/>
                <w:szCs w:val="22"/>
              </w:rPr>
              <w:t>Südkorea: Fallsterberate ist deutlich erhöht in Altersgruppen 70-79: 4,1% und &gt;80: 6,0%</w:t>
            </w:r>
          </w:p>
          <w:p>
            <w:pPr>
              <w:pStyle w:val="Listenabsatz"/>
              <w:numPr>
                <w:ilvl w:val="1"/>
                <w:numId w:val="8"/>
              </w:numPr>
              <w:rPr>
                <w:sz w:val="22"/>
                <w:szCs w:val="22"/>
              </w:rPr>
            </w:pPr>
            <w:r>
              <w:rPr>
                <w:sz w:val="22"/>
                <w:szCs w:val="22"/>
              </w:rPr>
              <w:t>Japan wird weiterhin nicht als Risikogebiet betrachtet.</w:t>
            </w:r>
          </w:p>
          <w:p>
            <w:pPr>
              <w:pStyle w:val="Listenabsatz"/>
              <w:numPr>
                <w:ilvl w:val="1"/>
                <w:numId w:val="8"/>
              </w:numPr>
              <w:rPr>
                <w:sz w:val="22"/>
                <w:szCs w:val="22"/>
              </w:rPr>
            </w:pPr>
            <w:r>
              <w:rPr>
                <w:sz w:val="22"/>
                <w:szCs w:val="22"/>
              </w:rPr>
              <w:t>Iran: Inzidenz am höchsten in Ghom, keine genaueren Informationen zu importierten Fällen</w:t>
            </w:r>
          </w:p>
          <w:p>
            <w:pPr>
              <w:pStyle w:val="Listenabsatz"/>
              <w:numPr>
                <w:ilvl w:val="1"/>
                <w:numId w:val="8"/>
              </w:numPr>
              <w:rPr>
                <w:sz w:val="22"/>
                <w:szCs w:val="22"/>
              </w:rPr>
            </w:pPr>
            <w:r>
              <w:rPr>
                <w:sz w:val="22"/>
                <w:szCs w:val="22"/>
              </w:rPr>
              <w:t>USA: Lokale Übertragungen in Washington und Kalifornien; Restriktionen bei Testung sind aufgehoben</w:t>
            </w:r>
          </w:p>
          <w:p>
            <w:pPr>
              <w:pStyle w:val="Listenabsatz"/>
              <w:numPr>
                <w:ilvl w:val="1"/>
                <w:numId w:val="8"/>
              </w:numPr>
              <w:rPr>
                <w:sz w:val="22"/>
                <w:szCs w:val="22"/>
              </w:rPr>
            </w:pPr>
            <w:r>
              <w:rPr>
                <w:sz w:val="22"/>
                <w:szCs w:val="22"/>
              </w:rPr>
              <w:t>Ägypten: etwas mehr importierte Fälle, offiziell nur 2 Fälle im Land, soll weiter beobachtet werden</w:t>
            </w:r>
          </w:p>
          <w:p>
            <w:pPr>
              <w:pStyle w:val="Listenabsatz"/>
              <w:numPr>
                <w:ilvl w:val="1"/>
                <w:numId w:val="8"/>
              </w:numPr>
              <w:rPr>
                <w:sz w:val="22"/>
                <w:szCs w:val="22"/>
              </w:rPr>
            </w:pPr>
            <w:r>
              <w:rPr>
                <w:sz w:val="22"/>
                <w:szCs w:val="22"/>
              </w:rPr>
              <w:t>Italien: Südtirol hat nur 7 gemeldete Fälle, kein anderes Land außer Deutschland hat importierte Fälle aus Südtirol gemeldet; jedoch viele Fälle aus Deutschland mit Reiseanamnese Südtirol, deshalb wurde Südtirol als Risikogebiet definiert</w:t>
            </w:r>
          </w:p>
          <w:p>
            <w:pPr>
              <w:pStyle w:val="Listenabsatz"/>
              <w:numPr>
                <w:ilvl w:val="1"/>
                <w:numId w:val="8"/>
              </w:numPr>
              <w:rPr>
                <w:sz w:val="22"/>
                <w:szCs w:val="22"/>
              </w:rPr>
            </w:pPr>
            <w:r>
              <w:rPr>
                <w:sz w:val="22"/>
                <w:szCs w:val="22"/>
              </w:rPr>
              <w:t xml:space="preserve">Frankreich: 105 Fälle (25%) in Oise; 140 bestätigte Fälle in Grand Est Region (Ostfrankreich), dort keine Kapazitäten für generelles </w:t>
            </w:r>
            <w:proofErr w:type="spellStart"/>
            <w:r>
              <w:rPr>
                <w:sz w:val="22"/>
                <w:szCs w:val="22"/>
              </w:rPr>
              <w:t>KoNa</w:t>
            </w:r>
            <w:proofErr w:type="spellEnd"/>
            <w:r>
              <w:rPr>
                <w:sz w:val="22"/>
                <w:szCs w:val="22"/>
              </w:rPr>
              <w:t xml:space="preserve"> mehr,  konzentrieren sich auf med. Personal </w:t>
            </w:r>
          </w:p>
          <w:p>
            <w:pPr>
              <w:pStyle w:val="Listenabsatz"/>
              <w:numPr>
                <w:ilvl w:val="1"/>
                <w:numId w:val="8"/>
              </w:numPr>
              <w:rPr>
                <w:sz w:val="22"/>
                <w:szCs w:val="22"/>
              </w:rPr>
            </w:pPr>
            <w:r>
              <w:rPr>
                <w:sz w:val="22"/>
                <w:szCs w:val="22"/>
              </w:rPr>
              <w:t xml:space="preserve">Frankreich wird weiter beobachtet und noch nicht als </w:t>
            </w:r>
            <w:r>
              <w:rPr>
                <w:sz w:val="22"/>
                <w:szCs w:val="22"/>
              </w:rPr>
              <w:lastRenderedPageBreak/>
              <w:t>Risikogebiet definiert, gleiches gilt für Spanien.</w:t>
            </w:r>
          </w:p>
          <w:p>
            <w:pPr>
              <w:pStyle w:val="Listenabsatz"/>
              <w:numPr>
                <w:ilvl w:val="1"/>
                <w:numId w:val="8"/>
              </w:numPr>
              <w:rPr>
                <w:sz w:val="22"/>
                <w:szCs w:val="22"/>
              </w:rPr>
            </w:pPr>
            <w:r>
              <w:rPr>
                <w:sz w:val="22"/>
                <w:szCs w:val="22"/>
              </w:rPr>
              <w:t>Risikogebiete sollen sich auf Regionen mit vielen Fällen beschränken, nicht auf ganze Länder.</w:t>
            </w:r>
          </w:p>
          <w:p>
            <w:pPr>
              <w:pStyle w:val="Listenabsatz"/>
              <w:numPr>
                <w:ilvl w:val="1"/>
                <w:numId w:val="8"/>
              </w:numPr>
              <w:rPr>
                <w:sz w:val="22"/>
                <w:szCs w:val="22"/>
              </w:rPr>
            </w:pPr>
            <w:r>
              <w:rPr>
                <w:sz w:val="22"/>
                <w:szCs w:val="22"/>
              </w:rPr>
              <w:t>Reiserückkehrer aus Risikogebieten werden wie Kontaktpersonen 2.Grades behandelt: Empfehlung soziale Kontakte zu reduzieren, ohne Erkrankung keine Quarantänemaßnahmen nötig</w:t>
            </w:r>
          </w:p>
          <w:p>
            <w:pPr>
              <w:pStyle w:val="Listenabsatz"/>
              <w:ind w:left="1440"/>
              <w:rPr>
                <w:sz w:val="22"/>
                <w:szCs w:val="22"/>
              </w:rPr>
            </w:pPr>
          </w:p>
          <w:p>
            <w:pPr>
              <w:rPr>
                <w:i/>
                <w:sz w:val="22"/>
                <w:szCs w:val="22"/>
              </w:rPr>
            </w:pPr>
            <w:proofErr w:type="spellStart"/>
            <w:r>
              <w:rPr>
                <w:i/>
                <w:sz w:val="22"/>
                <w:szCs w:val="22"/>
              </w:rPr>
              <w:t>ToDo</w:t>
            </w:r>
            <w:proofErr w:type="spellEnd"/>
            <w:r>
              <w:rPr>
                <w:i/>
                <w:sz w:val="22"/>
                <w:szCs w:val="22"/>
              </w:rPr>
              <w:t>: Hilfestellung für ÖGD: Empfohlene Maßnahmen bei Einreise aus Risikogebieten überarbeiten (FG32 + AGI)</w:t>
            </w:r>
          </w:p>
          <w:p>
            <w:pPr>
              <w:rPr>
                <w:b/>
                <w:sz w:val="22"/>
                <w:szCs w:val="22"/>
              </w:rPr>
            </w:pPr>
          </w:p>
          <w:p>
            <w:pPr>
              <w:rPr>
                <w:b/>
                <w:sz w:val="22"/>
                <w:szCs w:val="22"/>
              </w:rPr>
            </w:pPr>
            <w:r>
              <w:rPr>
                <w:b/>
                <w:sz w:val="22"/>
                <w:szCs w:val="22"/>
              </w:rPr>
              <w:t xml:space="preserve">National </w:t>
            </w:r>
          </w:p>
          <w:p>
            <w:pPr>
              <w:pStyle w:val="Listenabsatz"/>
              <w:numPr>
                <w:ilvl w:val="0"/>
                <w:numId w:val="18"/>
              </w:numPr>
              <w:rPr>
                <w:sz w:val="22"/>
                <w:szCs w:val="22"/>
              </w:rPr>
            </w:pPr>
            <w:r>
              <w:rPr>
                <w:sz w:val="22"/>
                <w:szCs w:val="22"/>
              </w:rPr>
              <w:t>Fälle</w:t>
            </w:r>
          </w:p>
          <w:p>
            <w:pPr>
              <w:pStyle w:val="NurText"/>
              <w:numPr>
                <w:ilvl w:val="0"/>
                <w:numId w:val="14"/>
              </w:numPr>
              <w:rPr>
                <w:szCs w:val="22"/>
              </w:rPr>
            </w:pPr>
            <w:r>
              <w:rPr>
                <w:rFonts w:asciiTheme="minorHAnsi" w:hAnsiTheme="minorHAnsi"/>
                <w:szCs w:val="22"/>
              </w:rPr>
              <w:t>543  bestätigt (+194), 15 BL und 126 LK betroffen, (1 BB, 15 BE, 91 BW, 79 BY, 3 HB, 15 HE, 8 HH, 5 MV, 18 NI, 281 NW, 8 RP, 7 SH, 1 SL, 1 SN, 1 TH))</w:t>
            </w:r>
          </w:p>
          <w:p>
            <w:pPr>
              <w:pStyle w:val="NurText"/>
              <w:numPr>
                <w:ilvl w:val="0"/>
                <w:numId w:val="14"/>
              </w:numPr>
              <w:rPr>
                <w:szCs w:val="22"/>
              </w:rPr>
            </w:pPr>
            <w:r>
              <w:rPr>
                <w:rFonts w:asciiTheme="minorHAnsi" w:hAnsiTheme="minorHAnsi"/>
                <w:szCs w:val="22"/>
              </w:rPr>
              <w:t>Vor allem in NRW, BW, BY starker Anstieg der Fallzahl</w:t>
            </w:r>
          </w:p>
          <w:p>
            <w:pPr>
              <w:pStyle w:val="NurText"/>
              <w:numPr>
                <w:ilvl w:val="0"/>
                <w:numId w:val="14"/>
              </w:numPr>
              <w:rPr>
                <w:szCs w:val="22"/>
              </w:rPr>
            </w:pPr>
            <w:r>
              <w:rPr>
                <w:rFonts w:asciiTheme="minorHAnsi" w:hAnsiTheme="minorHAnsi"/>
                <w:szCs w:val="22"/>
              </w:rPr>
              <w:t>Expositionsorte: für 439 Fälle ist bekannt, dass sie Kontakt mit einem bestätigtem Fall hatten oder sich in einem Risikogebiet aufhielten; bei 295 war der Expositionsort national (hauptsächlich Heinsberg), bei 121 international (hauptsächlich Italien)</w:t>
            </w:r>
          </w:p>
          <w:p>
            <w:pPr>
              <w:pStyle w:val="NurText"/>
              <w:numPr>
                <w:ilvl w:val="0"/>
                <w:numId w:val="14"/>
              </w:numPr>
              <w:rPr>
                <w:szCs w:val="22"/>
              </w:rPr>
            </w:pPr>
            <w:r>
              <w:rPr>
                <w:rFonts w:asciiTheme="minorHAnsi" w:hAnsiTheme="minorHAnsi"/>
                <w:szCs w:val="22"/>
              </w:rPr>
              <w:t>&gt; 100 Cluster; FG36 wird eine Clusterbeschreibung versuchen</w:t>
            </w:r>
          </w:p>
          <w:p>
            <w:pPr>
              <w:pStyle w:val="NurText"/>
              <w:numPr>
                <w:ilvl w:val="0"/>
                <w:numId w:val="14"/>
              </w:numPr>
              <w:rPr>
                <w:szCs w:val="22"/>
              </w:rPr>
            </w:pPr>
            <w:r>
              <w:rPr>
                <w:rFonts w:asciiTheme="minorHAnsi" w:hAnsiTheme="minorHAnsi"/>
                <w:szCs w:val="22"/>
              </w:rPr>
              <w:t>In Heinsberg wurde Strategie der Eindämmung aufgegeben, Risikoeinschätzung des RKI hierzu wurde ans BMG kommuniziert und ist im Lagebericht veröffentlicht</w:t>
            </w:r>
          </w:p>
          <w:p>
            <w:pPr>
              <w:pStyle w:val="NurText"/>
              <w:numPr>
                <w:ilvl w:val="0"/>
                <w:numId w:val="14"/>
              </w:numPr>
              <w:rPr>
                <w:rFonts w:asciiTheme="minorHAnsi" w:hAnsiTheme="minorHAnsi"/>
                <w:szCs w:val="22"/>
              </w:rPr>
            </w:pPr>
            <w:r>
              <w:rPr>
                <w:rFonts w:asciiTheme="minorHAnsi" w:hAnsiTheme="minorHAnsi"/>
                <w:szCs w:val="22"/>
              </w:rPr>
              <w:t xml:space="preserve">Daten sind jetzt in </w:t>
            </w:r>
            <w:proofErr w:type="spellStart"/>
            <w:r>
              <w:rPr>
                <w:rFonts w:asciiTheme="minorHAnsi" w:hAnsiTheme="minorHAnsi"/>
                <w:szCs w:val="22"/>
              </w:rPr>
              <w:t>SurvStat</w:t>
            </w:r>
            <w:proofErr w:type="spellEnd"/>
            <w:r>
              <w:rPr>
                <w:rFonts w:asciiTheme="minorHAnsi" w:hAnsiTheme="minorHAnsi"/>
                <w:szCs w:val="22"/>
              </w:rPr>
              <w:t xml:space="preserve"> abrufbar, durch den Meldeverzug jedoch mit weniger Fällen als im Lagebericht kommuniziert wurde.</w:t>
            </w:r>
          </w:p>
          <w:p>
            <w:pPr>
              <w:pStyle w:val="NurText"/>
              <w:numPr>
                <w:ilvl w:val="0"/>
                <w:numId w:val="14"/>
              </w:numPr>
              <w:rPr>
                <w:rFonts w:asciiTheme="minorHAnsi" w:hAnsiTheme="minorHAnsi"/>
                <w:szCs w:val="22"/>
              </w:rPr>
            </w:pPr>
            <w:r>
              <w:rPr>
                <w:rFonts w:asciiTheme="minorHAnsi" w:hAnsiTheme="minorHAnsi"/>
                <w:szCs w:val="22"/>
              </w:rPr>
              <w:t>Demnächst sollen auch im Lagebericht nur noch Meldedaten verwendet werden, da der Aufwand für die Recherche zu groß ist. Bei der Umstellung könnte dies zu einer einmaligen Reduzierung der Fallzahlen führen.</w:t>
            </w:r>
          </w:p>
          <w:p>
            <w:pPr>
              <w:pStyle w:val="NurText"/>
              <w:numPr>
                <w:ilvl w:val="0"/>
                <w:numId w:val="14"/>
              </w:numPr>
              <w:rPr>
                <w:rFonts w:asciiTheme="minorHAnsi" w:hAnsiTheme="minorHAnsi"/>
                <w:szCs w:val="22"/>
              </w:rPr>
            </w:pPr>
            <w:r>
              <w:rPr>
                <w:rFonts w:asciiTheme="minorHAnsi" w:hAnsiTheme="minorHAnsi"/>
                <w:szCs w:val="22"/>
              </w:rPr>
              <w:t>Information zu Hospitalisierung ist für 146 vorhanden, davon sind 52 hospitalisiert; jedoch keine Info über Schwere der Erkrankung vorhanden.</w:t>
            </w:r>
          </w:p>
          <w:p>
            <w:pPr>
              <w:spacing w:after="120"/>
              <w:rPr>
                <w:i/>
                <w:sz w:val="22"/>
              </w:rPr>
            </w:pPr>
            <w:proofErr w:type="spellStart"/>
            <w:r>
              <w:rPr>
                <w:i/>
                <w:sz w:val="22"/>
              </w:rPr>
              <w:t>ToDo</w:t>
            </w:r>
            <w:proofErr w:type="spellEnd"/>
            <w:r>
              <w:rPr>
                <w:i/>
                <w:sz w:val="22"/>
              </w:rPr>
              <w:t>: Definition „schwere Erkrankung“</w:t>
            </w:r>
          </w:p>
          <w:p>
            <w:pPr>
              <w:pStyle w:val="NurText"/>
              <w:numPr>
                <w:ilvl w:val="0"/>
                <w:numId w:val="18"/>
              </w:numPr>
              <w:rPr>
                <w:rFonts w:asciiTheme="minorHAnsi" w:hAnsiTheme="minorHAnsi"/>
                <w:szCs w:val="22"/>
              </w:rPr>
            </w:pPr>
            <w:proofErr w:type="spellStart"/>
            <w:r>
              <w:rPr>
                <w:rFonts w:asciiTheme="minorHAnsi" w:hAnsiTheme="minorHAnsi"/>
                <w:szCs w:val="22"/>
              </w:rPr>
              <w:t>Epikurve</w:t>
            </w:r>
            <w:proofErr w:type="spellEnd"/>
            <w:r>
              <w:rPr>
                <w:rFonts w:asciiTheme="minorHAnsi" w:hAnsiTheme="minorHAnsi"/>
                <w:szCs w:val="22"/>
              </w:rPr>
              <w:t xml:space="preserve"> sollte ohne Heinsberg betrachtet werden, ist die </w:t>
            </w:r>
            <w:proofErr w:type="spellStart"/>
            <w:r>
              <w:rPr>
                <w:rFonts w:asciiTheme="minorHAnsi" w:hAnsiTheme="minorHAnsi"/>
                <w:szCs w:val="22"/>
              </w:rPr>
              <w:t>KoNa</w:t>
            </w:r>
            <w:proofErr w:type="spellEnd"/>
            <w:r>
              <w:rPr>
                <w:rFonts w:asciiTheme="minorHAnsi" w:hAnsiTheme="minorHAnsi"/>
                <w:szCs w:val="22"/>
              </w:rPr>
              <w:t xml:space="preserve"> ohne Heinsberg ein Erfolg?</w:t>
            </w:r>
          </w:p>
          <w:p>
            <w:pPr>
              <w:pStyle w:val="NurText"/>
              <w:numPr>
                <w:ilvl w:val="0"/>
                <w:numId w:val="18"/>
              </w:numPr>
              <w:rPr>
                <w:rFonts w:asciiTheme="minorHAnsi" w:hAnsiTheme="minorHAnsi"/>
                <w:szCs w:val="22"/>
              </w:rPr>
            </w:pPr>
            <w:r>
              <w:rPr>
                <w:rFonts w:asciiTheme="minorHAnsi" w:hAnsiTheme="minorHAnsi"/>
                <w:szCs w:val="22"/>
              </w:rPr>
              <w:t>Eine Darstellung nach BL ist geplant.</w:t>
            </w:r>
          </w:p>
          <w:p>
            <w:pPr>
              <w:pStyle w:val="NurText"/>
              <w:spacing w:after="120"/>
              <w:rPr>
                <w:rFonts w:asciiTheme="minorHAnsi" w:hAnsiTheme="minorHAnsi"/>
                <w:i/>
                <w:szCs w:val="22"/>
              </w:rPr>
            </w:pPr>
            <w:proofErr w:type="spellStart"/>
            <w:r>
              <w:rPr>
                <w:rFonts w:asciiTheme="minorHAnsi" w:hAnsiTheme="minorHAnsi"/>
                <w:i/>
                <w:szCs w:val="22"/>
              </w:rPr>
              <w:t>ToDo</w:t>
            </w:r>
            <w:proofErr w:type="spellEnd"/>
            <w:r>
              <w:rPr>
                <w:rFonts w:asciiTheme="minorHAnsi" w:hAnsiTheme="minorHAnsi"/>
                <w:i/>
                <w:szCs w:val="22"/>
              </w:rPr>
              <w:t xml:space="preserve">: Aufnahme von </w:t>
            </w:r>
            <w:proofErr w:type="spellStart"/>
            <w:r>
              <w:rPr>
                <w:rFonts w:asciiTheme="minorHAnsi" w:hAnsiTheme="minorHAnsi"/>
                <w:i/>
                <w:szCs w:val="22"/>
              </w:rPr>
              <w:t>Epikurven</w:t>
            </w:r>
            <w:proofErr w:type="spellEnd"/>
            <w:r>
              <w:rPr>
                <w:rFonts w:asciiTheme="minorHAnsi" w:hAnsiTheme="minorHAnsi"/>
                <w:i/>
                <w:szCs w:val="22"/>
              </w:rPr>
              <w:t xml:space="preserve"> nach Bundesland in den Lagebericht</w:t>
            </w:r>
          </w:p>
          <w:p>
            <w:pPr>
              <w:pStyle w:val="NurText"/>
              <w:numPr>
                <w:ilvl w:val="0"/>
                <w:numId w:val="19"/>
              </w:numPr>
              <w:rPr>
                <w:rFonts w:asciiTheme="minorHAnsi" w:hAnsiTheme="minorHAnsi"/>
                <w:szCs w:val="22"/>
              </w:rPr>
            </w:pPr>
            <w:r>
              <w:rPr>
                <w:rFonts w:asciiTheme="minorHAnsi" w:hAnsiTheme="minorHAnsi"/>
                <w:szCs w:val="22"/>
              </w:rPr>
              <w:t>Rückgang der Blutspenden: ist in Verantwortung des PEI.</w:t>
            </w:r>
          </w:p>
          <w:p>
            <w:pPr>
              <w:pStyle w:val="NurText"/>
              <w:numPr>
                <w:ilvl w:val="0"/>
                <w:numId w:val="19"/>
              </w:numPr>
              <w:rPr>
                <w:rFonts w:asciiTheme="minorHAnsi" w:hAnsiTheme="minorHAnsi"/>
                <w:szCs w:val="22"/>
              </w:rPr>
            </w:pPr>
            <w:r>
              <w:rPr>
                <w:rFonts w:asciiTheme="minorHAnsi" w:hAnsiTheme="minorHAnsi"/>
                <w:szCs w:val="22"/>
              </w:rPr>
              <w:t>Angebot der Unterstützung durch Bundeswehr</w:t>
            </w:r>
          </w:p>
          <w:p>
            <w:pPr>
              <w:pStyle w:val="NurText"/>
              <w:spacing w:after="120"/>
              <w:rPr>
                <w:rFonts w:asciiTheme="minorHAnsi" w:hAnsiTheme="minorHAnsi"/>
                <w:i/>
                <w:szCs w:val="22"/>
              </w:rPr>
            </w:pPr>
            <w:proofErr w:type="spellStart"/>
            <w:r>
              <w:rPr>
                <w:rFonts w:asciiTheme="minorHAnsi" w:hAnsiTheme="minorHAnsi"/>
                <w:i/>
                <w:szCs w:val="22"/>
              </w:rPr>
              <w:t>ToDo</w:t>
            </w:r>
            <w:proofErr w:type="spellEnd"/>
            <w:r>
              <w:rPr>
                <w:rFonts w:asciiTheme="minorHAnsi" w:hAnsiTheme="minorHAnsi"/>
                <w:i/>
                <w:szCs w:val="22"/>
              </w:rPr>
              <w:t xml:space="preserve">: schriftliche Klärung bei der Bundeswehr, wobei unterstützt werden kann </w:t>
            </w:r>
          </w:p>
          <w:p>
            <w:pPr>
              <w:pStyle w:val="NurText"/>
              <w:numPr>
                <w:ilvl w:val="0"/>
                <w:numId w:val="20"/>
              </w:numPr>
              <w:rPr>
                <w:rFonts w:asciiTheme="minorHAnsi" w:hAnsiTheme="minorHAnsi"/>
                <w:szCs w:val="22"/>
              </w:rPr>
            </w:pPr>
            <w:r>
              <w:rPr>
                <w:rFonts w:asciiTheme="minorHAnsi" w:hAnsiTheme="minorHAnsi"/>
                <w:szCs w:val="22"/>
              </w:rPr>
              <w:t xml:space="preserve">Auf der Webseite unter COVID-19 Risikogebiete soll neben den Risikogebieten ein weiterer Kasten mit „besonders betroffenen Gebieten“ hinzugefügt werden. In diesem soll </w:t>
            </w:r>
            <w:r>
              <w:rPr>
                <w:rFonts w:asciiTheme="minorHAnsi" w:hAnsiTheme="minorHAnsi"/>
                <w:szCs w:val="22"/>
              </w:rPr>
              <w:lastRenderedPageBreak/>
              <w:t>unter Deutschland Heinsberg aufgeführt werden.</w:t>
            </w:r>
          </w:p>
          <w:p>
            <w:pPr>
              <w:pStyle w:val="NurText"/>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lastRenderedPageBreak/>
              <w:t>2</w:t>
            </w:r>
          </w:p>
        </w:tc>
        <w:tc>
          <w:tcPr>
            <w:tcW w:w="6795" w:type="dxa"/>
          </w:tcPr>
          <w:p>
            <w:pPr>
              <w:rPr>
                <w:b/>
                <w:sz w:val="28"/>
              </w:rPr>
            </w:pPr>
            <w:r>
              <w:rPr>
                <w:b/>
                <w:sz w:val="28"/>
              </w:rPr>
              <w:t>Erkenntnisse über Erreger</w:t>
            </w:r>
          </w:p>
          <w:p>
            <w:pPr>
              <w:pStyle w:val="Listenabsatz"/>
              <w:numPr>
                <w:ilvl w:val="0"/>
                <w:numId w:val="10"/>
              </w:numPr>
              <w:rPr>
                <w:sz w:val="22"/>
                <w:szCs w:val="22"/>
              </w:rPr>
            </w:pPr>
            <w:r>
              <w:rPr>
                <w:sz w:val="22"/>
                <w:szCs w:val="22"/>
              </w:rPr>
              <w:t>Der Erregersteckbrief wurde vom BMG freigegeben, kann publiziert werden.</w:t>
            </w:r>
          </w:p>
          <w:p>
            <w:pPr>
              <w:spacing w:after="120"/>
              <w:rPr>
                <w:i/>
                <w:sz w:val="22"/>
                <w:szCs w:val="22"/>
              </w:rPr>
            </w:pPr>
            <w:proofErr w:type="spellStart"/>
            <w:r>
              <w:rPr>
                <w:i/>
                <w:sz w:val="22"/>
                <w:szCs w:val="22"/>
              </w:rPr>
              <w:t>ToDo</w:t>
            </w:r>
            <w:proofErr w:type="spellEnd"/>
            <w:r>
              <w:rPr>
                <w:i/>
                <w:sz w:val="22"/>
                <w:szCs w:val="22"/>
              </w:rPr>
              <w:t>: Erregersteckbrief soll in korrekter Fassung an Presse (FG36)</w:t>
            </w:r>
          </w:p>
          <w:p>
            <w:pPr>
              <w:pStyle w:val="Listenabsatz"/>
              <w:numPr>
                <w:ilvl w:val="0"/>
                <w:numId w:val="10"/>
              </w:numPr>
              <w:rPr>
                <w:sz w:val="22"/>
                <w:szCs w:val="22"/>
              </w:rPr>
            </w:pPr>
            <w:r>
              <w:rPr>
                <w:sz w:val="22"/>
                <w:szCs w:val="22"/>
              </w:rPr>
              <w:t xml:space="preserve">Der PI </w:t>
            </w:r>
            <w:proofErr w:type="spellStart"/>
            <w:r>
              <w:rPr>
                <w:sz w:val="22"/>
                <w:szCs w:val="22"/>
              </w:rPr>
              <w:t>Camostat</w:t>
            </w:r>
            <w:proofErr w:type="spellEnd"/>
            <w:r>
              <w:rPr>
                <w:sz w:val="22"/>
                <w:szCs w:val="22"/>
              </w:rPr>
              <w:t xml:space="preserve"> (</w:t>
            </w:r>
            <w:proofErr w:type="spellStart"/>
            <w:r>
              <w:rPr>
                <w:sz w:val="22"/>
                <w:szCs w:val="22"/>
              </w:rPr>
              <w:t>Foipan</w:t>
            </w:r>
            <w:proofErr w:type="spellEnd"/>
            <w:r>
              <w:rPr>
                <w:sz w:val="22"/>
                <w:szCs w:val="22"/>
              </w:rPr>
              <w:t>®) scheint in der Zellkultur sehr wirksam zu sein, noch wurden keine Tierversuche durchgeführt. (In Japan und USA bereits für andere Indikation zugelassen.)</w:t>
            </w:r>
          </w:p>
          <w:p>
            <w:pPr>
              <w:rPr>
                <w:i/>
                <w:sz w:val="22"/>
                <w:szCs w:val="22"/>
              </w:rPr>
            </w:pPr>
          </w:p>
        </w:tc>
        <w:tc>
          <w:tcPr>
            <w:tcW w:w="1492" w:type="dxa"/>
          </w:tcPr>
          <w:p>
            <w:pPr>
              <w:rPr>
                <w:sz w:val="22"/>
                <w:szCs w:val="22"/>
              </w:rPr>
            </w:pPr>
          </w:p>
          <w:p>
            <w:pPr>
              <w:rPr>
                <w:sz w:val="22"/>
                <w:szCs w:val="22"/>
              </w:rPr>
            </w:pPr>
            <w:r>
              <w:rPr>
                <w:sz w:val="22"/>
                <w:szCs w:val="22"/>
              </w:rPr>
              <w:t>FG36</w:t>
            </w:r>
          </w:p>
          <w:p>
            <w:pPr>
              <w:rPr>
                <w:sz w:val="22"/>
                <w:szCs w:val="22"/>
              </w:rPr>
            </w:pPr>
          </w:p>
        </w:tc>
      </w:tr>
      <w:tr>
        <w:tc>
          <w:tcPr>
            <w:tcW w:w="684" w:type="dxa"/>
          </w:tcPr>
          <w:p>
            <w:pPr>
              <w:rPr>
                <w:b/>
              </w:rPr>
            </w:pPr>
            <w:r>
              <w:rPr>
                <w:b/>
              </w:rPr>
              <w:t>3</w:t>
            </w:r>
          </w:p>
        </w:tc>
        <w:tc>
          <w:tcPr>
            <w:tcW w:w="6795" w:type="dxa"/>
          </w:tcPr>
          <w:p>
            <w:pPr>
              <w:rPr>
                <w:b/>
                <w:sz w:val="28"/>
              </w:rPr>
            </w:pPr>
            <w:r>
              <w:rPr>
                <w:b/>
                <w:sz w:val="28"/>
              </w:rPr>
              <w:t>Aktuelle Risikobewertung</w:t>
            </w:r>
          </w:p>
          <w:p>
            <w:pPr>
              <w:pStyle w:val="Listenabsatz"/>
              <w:numPr>
                <w:ilvl w:val="0"/>
                <w:numId w:val="7"/>
              </w:numPr>
              <w:rPr>
                <w:sz w:val="22"/>
                <w:szCs w:val="22"/>
              </w:rPr>
            </w:pPr>
            <w:r>
              <w:rPr>
                <w:sz w:val="22"/>
                <w:szCs w:val="22"/>
              </w:rPr>
              <w:t>Risikobewertung „mäßig“ kann erstmal bleiben und soll am Montag wieder überdacht werden. Am Montag soll auch Vorschlag zur Rationalen der Risikobewertung besprochen werden.</w:t>
            </w:r>
          </w:p>
          <w:p>
            <w:pPr>
              <w:pStyle w:val="Listenabsatz"/>
              <w:numPr>
                <w:ilvl w:val="0"/>
                <w:numId w:val="7"/>
              </w:numPr>
              <w:rPr>
                <w:sz w:val="22"/>
                <w:szCs w:val="22"/>
              </w:rPr>
            </w:pPr>
            <w:r>
              <w:rPr>
                <w:sz w:val="22"/>
                <w:szCs w:val="22"/>
              </w:rPr>
              <w:t>Eine Einbeziehung der Verfügbarkeit von Schutz- und Gegenmaßnahmen in die Risikobewertung wäre sinnvoll.</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FG32/FG36</w:t>
            </w:r>
          </w:p>
        </w:tc>
      </w:tr>
      <w:tr>
        <w:trPr>
          <w:trHeight w:val="518"/>
        </w:trPr>
        <w:tc>
          <w:tcPr>
            <w:tcW w:w="684" w:type="dxa"/>
          </w:tcPr>
          <w:p>
            <w:pPr>
              <w:rPr>
                <w:b/>
              </w:rPr>
            </w:pPr>
            <w:r>
              <w:rPr>
                <w:b/>
              </w:rPr>
              <w:t>4</w:t>
            </w:r>
          </w:p>
        </w:tc>
        <w:tc>
          <w:tcPr>
            <w:tcW w:w="6795" w:type="dxa"/>
          </w:tcPr>
          <w:p>
            <w:pPr>
              <w:rPr>
                <w:b/>
                <w:sz w:val="28"/>
                <w:szCs w:val="28"/>
              </w:rPr>
            </w:pPr>
            <w:r>
              <w:rPr>
                <w:b/>
                <w:sz w:val="28"/>
                <w:szCs w:val="28"/>
              </w:rPr>
              <w:t>Kommunikation</w:t>
            </w:r>
          </w:p>
          <w:p>
            <w:pPr>
              <w:pStyle w:val="Listenabsatz"/>
              <w:numPr>
                <w:ilvl w:val="0"/>
                <w:numId w:val="12"/>
              </w:numPr>
              <w:rPr>
                <w:sz w:val="22"/>
                <w:szCs w:val="22"/>
              </w:rPr>
            </w:pPr>
            <w:r>
              <w:rPr>
                <w:sz w:val="22"/>
                <w:szCs w:val="22"/>
              </w:rPr>
              <w:t xml:space="preserve">Die Lageberichte sind eine spezielle Form der Situationsberichte und auf der Internetseite unter der Überschrift Situationsberichte zu finden. </w:t>
            </w:r>
          </w:p>
          <w:p>
            <w:pPr>
              <w:pStyle w:val="Listenabsatz"/>
              <w:numPr>
                <w:ilvl w:val="0"/>
                <w:numId w:val="12"/>
              </w:numPr>
              <w:rPr>
                <w:sz w:val="22"/>
                <w:szCs w:val="22"/>
              </w:rPr>
            </w:pPr>
            <w:r>
              <w:rPr>
                <w:sz w:val="22"/>
                <w:szCs w:val="22"/>
              </w:rPr>
              <w:t>Presse bekommt 150-200 Mails pro Tag, ca. 1/3 aus der Fachöffentlichkeit, Anfragen von Bürgern werden standardmäßig an die FAQs und die BZgA verwiesen.</w:t>
            </w:r>
          </w:p>
          <w:p>
            <w:pPr>
              <w:pStyle w:val="Listenabsatz"/>
              <w:numPr>
                <w:ilvl w:val="0"/>
                <w:numId w:val="12"/>
              </w:numPr>
              <w:rPr>
                <w:sz w:val="22"/>
                <w:szCs w:val="22"/>
              </w:rPr>
            </w:pPr>
            <w:r>
              <w:rPr>
                <w:sz w:val="22"/>
                <w:szCs w:val="22"/>
              </w:rPr>
              <w:t>Als geeignetere Formulierung für „Hustenetikette“ wurde „Husten- und Niesregeln“ gewählt.</w:t>
            </w:r>
          </w:p>
          <w:p>
            <w:pPr>
              <w:spacing w:after="120"/>
              <w:rPr>
                <w:i/>
                <w:sz w:val="22"/>
              </w:rPr>
            </w:pPr>
            <w:proofErr w:type="spellStart"/>
            <w:r>
              <w:rPr>
                <w:i/>
                <w:sz w:val="22"/>
              </w:rPr>
              <w:t>ToDo</w:t>
            </w:r>
            <w:proofErr w:type="spellEnd"/>
            <w:r>
              <w:rPr>
                <w:i/>
                <w:sz w:val="22"/>
              </w:rPr>
              <w:t>: Sprachregelung umsetzen (Presse)</w:t>
            </w:r>
          </w:p>
          <w:p>
            <w:pPr>
              <w:pStyle w:val="Listenabsatz"/>
              <w:numPr>
                <w:ilvl w:val="0"/>
                <w:numId w:val="12"/>
              </w:numPr>
              <w:rPr>
                <w:sz w:val="22"/>
                <w:szCs w:val="22"/>
              </w:rPr>
            </w:pPr>
            <w:r>
              <w:rPr>
                <w:sz w:val="22"/>
                <w:szCs w:val="22"/>
              </w:rPr>
              <w:t>BZgA: am Wochenende werden neue Anzeigen geschaltet.</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Presse</w:t>
            </w:r>
          </w:p>
          <w:p>
            <w:pPr>
              <w:rPr>
                <w:sz w:val="22"/>
                <w:szCs w:val="22"/>
              </w:rPr>
            </w:pPr>
            <w:r>
              <w:rPr>
                <w:sz w:val="22"/>
                <w:szCs w:val="22"/>
              </w:rPr>
              <w:t>FG32</w:t>
            </w:r>
          </w:p>
          <w:p>
            <w:pPr>
              <w:rPr>
                <w:sz w:val="22"/>
                <w:szCs w:val="22"/>
              </w:rPr>
            </w:pPr>
          </w:p>
        </w:tc>
      </w:tr>
      <w:tr>
        <w:tc>
          <w:tcPr>
            <w:tcW w:w="684" w:type="dxa"/>
          </w:tcPr>
          <w:p>
            <w:pPr>
              <w:rPr>
                <w:b/>
              </w:rPr>
            </w:pPr>
            <w:r>
              <w:rPr>
                <w:b/>
              </w:rPr>
              <w:t>5</w:t>
            </w:r>
          </w:p>
        </w:tc>
        <w:tc>
          <w:tcPr>
            <w:tcW w:w="6795" w:type="dxa"/>
          </w:tcPr>
          <w:p>
            <w:pPr>
              <w:rPr>
                <w:b/>
                <w:sz w:val="22"/>
              </w:rPr>
            </w:pPr>
            <w:r>
              <w:rPr>
                <w:b/>
                <w:sz w:val="28"/>
              </w:rPr>
              <w:t>Dokumente</w:t>
            </w:r>
          </w:p>
          <w:p>
            <w:pPr>
              <w:pStyle w:val="Listenabsatz"/>
              <w:numPr>
                <w:ilvl w:val="0"/>
                <w:numId w:val="9"/>
              </w:numPr>
              <w:rPr>
                <w:sz w:val="22"/>
                <w:szCs w:val="22"/>
              </w:rPr>
            </w:pPr>
            <w:r>
              <w:rPr>
                <w:sz w:val="22"/>
                <w:szCs w:val="22"/>
              </w:rPr>
              <w:t>Risikoprofil vulnerable Gruppen: online</w:t>
            </w:r>
          </w:p>
          <w:p>
            <w:pPr>
              <w:pStyle w:val="Listenabsatz"/>
              <w:numPr>
                <w:ilvl w:val="0"/>
                <w:numId w:val="9"/>
              </w:numPr>
              <w:rPr>
                <w:sz w:val="22"/>
                <w:szCs w:val="22"/>
              </w:rPr>
            </w:pPr>
            <w:r>
              <w:rPr>
                <w:sz w:val="22"/>
                <w:szCs w:val="22"/>
              </w:rPr>
              <w:t>Empfehlung zur häuslichen Quarantäne</w:t>
            </w:r>
          </w:p>
          <w:p>
            <w:pPr>
              <w:pStyle w:val="Listenabsatz"/>
              <w:numPr>
                <w:ilvl w:val="1"/>
                <w:numId w:val="9"/>
              </w:numPr>
              <w:rPr>
                <w:sz w:val="22"/>
                <w:szCs w:val="22"/>
              </w:rPr>
            </w:pPr>
            <w:r>
              <w:rPr>
                <w:sz w:val="22"/>
                <w:szCs w:val="22"/>
              </w:rPr>
              <w:t>wurde an die AGI geschickt, da es keine Widersprüche gab, kann link, über den diese bezogen werden können online gehen.</w:t>
            </w:r>
          </w:p>
          <w:p>
            <w:pPr>
              <w:pStyle w:val="Listenabsatz"/>
              <w:numPr>
                <w:ilvl w:val="0"/>
                <w:numId w:val="9"/>
              </w:numPr>
              <w:rPr>
                <w:sz w:val="22"/>
                <w:szCs w:val="22"/>
              </w:rPr>
            </w:pPr>
            <w:r>
              <w:rPr>
                <w:sz w:val="22"/>
                <w:szCs w:val="22"/>
              </w:rPr>
              <w:t>Papier zu Handlungsoptionen zur Trennung von Patienten</w:t>
            </w:r>
          </w:p>
          <w:p>
            <w:pPr>
              <w:pStyle w:val="Listenabsatz"/>
              <w:numPr>
                <w:ilvl w:val="1"/>
                <w:numId w:val="9"/>
              </w:numPr>
              <w:rPr>
                <w:sz w:val="22"/>
                <w:szCs w:val="22"/>
              </w:rPr>
            </w:pPr>
            <w:r>
              <w:rPr>
                <w:sz w:val="22"/>
                <w:szCs w:val="22"/>
              </w:rPr>
              <w:t>ist keine Abkehr vom Pandemieplan sondern eine Konkretisierung, ein Anhang zum Pandemieplan</w:t>
            </w:r>
          </w:p>
          <w:p>
            <w:pPr>
              <w:rPr>
                <w:b/>
                <w:sz w:val="28"/>
              </w:rPr>
            </w:pPr>
          </w:p>
        </w:tc>
        <w:tc>
          <w:tcPr>
            <w:tcW w:w="1492" w:type="dxa"/>
          </w:tcPr>
          <w:p>
            <w:pPr>
              <w:rPr>
                <w:sz w:val="22"/>
                <w:szCs w:val="22"/>
              </w:rPr>
            </w:pPr>
          </w:p>
          <w:p>
            <w:pPr>
              <w:rPr>
                <w:sz w:val="22"/>
                <w:szCs w:val="22"/>
              </w:rPr>
            </w:pPr>
            <w:r>
              <w:rPr>
                <w:sz w:val="22"/>
                <w:szCs w:val="22"/>
              </w:rPr>
              <w:t>FG36</w:t>
            </w:r>
          </w:p>
          <w:p>
            <w:pPr>
              <w:rPr>
                <w:sz w:val="22"/>
                <w:szCs w:val="22"/>
              </w:rPr>
            </w:pPr>
          </w:p>
          <w:p>
            <w:pPr>
              <w:rPr>
                <w:sz w:val="22"/>
                <w:szCs w:val="22"/>
              </w:rPr>
            </w:pPr>
            <w:r>
              <w:rPr>
                <w:sz w:val="22"/>
                <w:szCs w:val="22"/>
              </w:rPr>
              <w:t>IBBS/Presse</w:t>
            </w:r>
          </w:p>
          <w:p>
            <w:pPr>
              <w:rPr>
                <w:sz w:val="22"/>
                <w:szCs w:val="22"/>
              </w:rPr>
            </w:pPr>
          </w:p>
          <w:p>
            <w:pPr>
              <w:rPr>
                <w:sz w:val="22"/>
                <w:szCs w:val="22"/>
              </w:rPr>
            </w:pPr>
          </w:p>
          <w:p>
            <w:pPr>
              <w:rPr>
                <w:sz w:val="22"/>
                <w:szCs w:val="22"/>
              </w:rPr>
            </w:pPr>
            <w:r>
              <w:rPr>
                <w:sz w:val="22"/>
                <w:szCs w:val="22"/>
              </w:rPr>
              <w:t>FG37</w:t>
            </w:r>
          </w:p>
        </w:tc>
      </w:tr>
      <w:tr>
        <w:tc>
          <w:tcPr>
            <w:tcW w:w="684" w:type="dxa"/>
          </w:tcPr>
          <w:p>
            <w:pPr>
              <w:rPr>
                <w:b/>
              </w:rPr>
            </w:pPr>
            <w:r>
              <w:rPr>
                <w:b/>
              </w:rPr>
              <w:t>6</w:t>
            </w:r>
          </w:p>
        </w:tc>
        <w:tc>
          <w:tcPr>
            <w:tcW w:w="6795" w:type="dxa"/>
          </w:tcPr>
          <w:p>
            <w:pPr>
              <w:rPr>
                <w:b/>
                <w:sz w:val="22"/>
              </w:rPr>
            </w:pPr>
            <w:r>
              <w:rPr>
                <w:b/>
                <w:sz w:val="28"/>
              </w:rPr>
              <w:t>Labordiagnostik</w:t>
            </w:r>
          </w:p>
          <w:p>
            <w:pPr>
              <w:pStyle w:val="Listenabsatz"/>
              <w:numPr>
                <w:ilvl w:val="0"/>
                <w:numId w:val="15"/>
              </w:numPr>
              <w:rPr>
                <w:i/>
                <w:sz w:val="22"/>
              </w:rPr>
            </w:pPr>
            <w:r>
              <w:rPr>
                <w:sz w:val="22"/>
              </w:rPr>
              <w:t xml:space="preserve">Optionen zur Selbsttestung: Kliniker sollen gebeten werden Material von symptomatischen Patienten, bei denen parallel ein Rachen- und Nasenabstrich durchgeführt wurde, zur Verfügung zu stellen; TK mit </w:t>
            </w:r>
            <w:proofErr w:type="spellStart"/>
            <w:r>
              <w:rPr>
                <w:sz w:val="22"/>
              </w:rPr>
              <w:t>Drosten</w:t>
            </w:r>
            <w:proofErr w:type="spellEnd"/>
            <w:r>
              <w:rPr>
                <w:sz w:val="22"/>
              </w:rPr>
              <w:t xml:space="preserve"> (verhindert) und Wölfel war gestern; Treffen mit Charité ambulantes Diagnostikzentrum, evtl. auch Vivantes ansprechen </w:t>
            </w:r>
            <w:proofErr w:type="spellStart"/>
            <w:r>
              <w:rPr>
                <w:sz w:val="22"/>
              </w:rPr>
              <w:t>bzgl</w:t>
            </w:r>
            <w:proofErr w:type="spellEnd"/>
            <w:r>
              <w:rPr>
                <w:sz w:val="22"/>
              </w:rPr>
              <w:t xml:space="preserve"> </w:t>
            </w:r>
            <w:proofErr w:type="spellStart"/>
            <w:r>
              <w:rPr>
                <w:sz w:val="22"/>
              </w:rPr>
              <w:lastRenderedPageBreak/>
              <w:t>Selbstbeprobung</w:t>
            </w:r>
            <w:proofErr w:type="spellEnd"/>
          </w:p>
          <w:p>
            <w:pPr>
              <w:spacing w:after="120"/>
              <w:rPr>
                <w:i/>
                <w:sz w:val="22"/>
              </w:rPr>
            </w:pPr>
            <w:proofErr w:type="spellStart"/>
            <w:r>
              <w:rPr>
                <w:i/>
                <w:sz w:val="22"/>
              </w:rPr>
              <w:t>ToDo</w:t>
            </w:r>
            <w:proofErr w:type="spellEnd"/>
            <w:r>
              <w:rPr>
                <w:i/>
                <w:sz w:val="22"/>
              </w:rPr>
              <w:t>: Evaluierung Selbstabstriche (FG36)</w:t>
            </w:r>
          </w:p>
          <w:p>
            <w:pPr>
              <w:pStyle w:val="Listenabsatz"/>
              <w:numPr>
                <w:ilvl w:val="0"/>
                <w:numId w:val="9"/>
              </w:numPr>
              <w:rPr>
                <w:sz w:val="22"/>
                <w:szCs w:val="22"/>
              </w:rPr>
            </w:pPr>
            <w:r>
              <w:rPr>
                <w:sz w:val="22"/>
              </w:rPr>
              <w:t>AGI Sentinel: gestern 213 Proben getestet, alle negativ</w:t>
            </w:r>
          </w:p>
          <w:p>
            <w:pPr>
              <w:pStyle w:val="Listenabsatz"/>
              <w:numPr>
                <w:ilvl w:val="0"/>
                <w:numId w:val="9"/>
              </w:numPr>
              <w:rPr>
                <w:sz w:val="22"/>
                <w:szCs w:val="22"/>
              </w:rPr>
            </w:pPr>
            <w:r>
              <w:rPr>
                <w:sz w:val="22"/>
              </w:rPr>
              <w:t xml:space="preserve">Serologie ist im Moment noch nicht validiert. </w:t>
            </w:r>
          </w:p>
          <w:p>
            <w:pPr>
              <w:pStyle w:val="Listenabsatz"/>
              <w:numPr>
                <w:ilvl w:val="0"/>
                <w:numId w:val="9"/>
              </w:numPr>
              <w:rPr>
                <w:sz w:val="22"/>
                <w:szCs w:val="22"/>
              </w:rPr>
            </w:pPr>
            <w:r>
              <w:rPr>
                <w:sz w:val="22"/>
              </w:rPr>
              <w:t>Das Verhältnis von replikationsfähigen Viren zu genomischer RNA in den Proben soll untersucht werden.</w:t>
            </w:r>
          </w:p>
          <w:p>
            <w:pPr>
              <w:pStyle w:val="Listenabsatz"/>
              <w:numPr>
                <w:ilvl w:val="0"/>
                <w:numId w:val="9"/>
              </w:numPr>
              <w:rPr>
                <w:sz w:val="22"/>
                <w:szCs w:val="22"/>
              </w:rPr>
            </w:pPr>
            <w:r>
              <w:rPr>
                <w:sz w:val="22"/>
                <w:szCs w:val="22"/>
              </w:rPr>
              <w:t>Grippeweb: es gibt die Überlegung auf freiwilliger Basis ein RKI internes Vergleichskollektiv zu etablieren.</w:t>
            </w:r>
          </w:p>
          <w:p>
            <w:pPr>
              <w:pStyle w:val="Listenabsatz"/>
              <w:numPr>
                <w:ilvl w:val="0"/>
                <w:numId w:val="9"/>
              </w:numPr>
              <w:rPr>
                <w:sz w:val="22"/>
                <w:szCs w:val="22"/>
              </w:rPr>
            </w:pPr>
            <w:r>
              <w:rPr>
                <w:sz w:val="22"/>
                <w:szCs w:val="22"/>
              </w:rPr>
              <w:t xml:space="preserve">ARS-Daten: von 500 in der Routinediagnostik getesteten Proben waren 8 positiv. </w:t>
            </w:r>
          </w:p>
          <w:p>
            <w:pPr>
              <w:rPr>
                <w:i/>
                <w:sz w:val="22"/>
              </w:rPr>
            </w:pPr>
            <w:proofErr w:type="spellStart"/>
            <w:r>
              <w:rPr>
                <w:i/>
                <w:sz w:val="22"/>
              </w:rPr>
              <w:t>ToDo</w:t>
            </w:r>
            <w:proofErr w:type="spellEnd"/>
            <w:r>
              <w:rPr>
                <w:i/>
                <w:sz w:val="22"/>
              </w:rPr>
              <w:t>:</w:t>
            </w:r>
            <w:r>
              <w:rPr>
                <w:i/>
                <w:sz w:val="22"/>
                <w:szCs w:val="22"/>
              </w:rPr>
              <w:t xml:space="preserve"> Zusammenführen der ARS-Daten mit </w:t>
            </w:r>
            <w:proofErr w:type="spellStart"/>
            <w:r>
              <w:rPr>
                <w:i/>
                <w:sz w:val="22"/>
                <w:szCs w:val="22"/>
              </w:rPr>
              <w:t>Voxco</w:t>
            </w:r>
            <w:proofErr w:type="spellEnd"/>
            <w:r>
              <w:rPr>
                <w:i/>
                <w:sz w:val="22"/>
                <w:szCs w:val="22"/>
              </w:rPr>
              <w:t xml:space="preserve"> und </w:t>
            </w:r>
            <w:proofErr w:type="spellStart"/>
            <w:r>
              <w:rPr>
                <w:i/>
                <w:sz w:val="22"/>
                <w:szCs w:val="22"/>
              </w:rPr>
              <w:t>RespiVir</w:t>
            </w:r>
            <w:proofErr w:type="spellEnd"/>
            <w:r>
              <w:rPr>
                <w:i/>
                <w:sz w:val="22"/>
                <w:szCs w:val="22"/>
              </w:rPr>
              <w:t xml:space="preserve"> Daten (J. Seifried)</w:t>
            </w:r>
          </w:p>
          <w:p>
            <w:pPr>
              <w:rPr>
                <w:i/>
                <w:sz w:val="22"/>
              </w:rPr>
            </w:pPr>
          </w:p>
        </w:tc>
        <w:tc>
          <w:tcPr>
            <w:tcW w:w="1492" w:type="dxa"/>
          </w:tcPr>
          <w:p>
            <w:pPr>
              <w:rPr>
                <w:sz w:val="22"/>
                <w:szCs w:val="22"/>
              </w:rPr>
            </w:pPr>
          </w:p>
          <w:p>
            <w:pPr>
              <w:rPr>
                <w:sz w:val="22"/>
                <w:szCs w:val="22"/>
              </w:rPr>
            </w:pPr>
          </w:p>
          <w:p>
            <w:pPr>
              <w:rPr>
                <w:sz w:val="22"/>
                <w:szCs w:val="22"/>
              </w:rPr>
            </w:pPr>
            <w:r>
              <w:rPr>
                <w:sz w:val="22"/>
                <w:szCs w:val="22"/>
              </w:rPr>
              <w:t>FG17</w:t>
            </w:r>
          </w:p>
          <w:p>
            <w:pPr>
              <w:rPr>
                <w:sz w:val="22"/>
                <w:szCs w:val="22"/>
              </w:rPr>
            </w:pPr>
            <w:r>
              <w:rPr>
                <w:sz w:val="22"/>
                <w:szCs w:val="22"/>
              </w:rPr>
              <w:t>ZBS1</w:t>
            </w: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r>
              <w:rPr>
                <w:sz w:val="22"/>
                <w:szCs w:val="22"/>
              </w:rPr>
              <w:t>FG17</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r>
              <w:rPr>
                <w:sz w:val="22"/>
                <w:szCs w:val="22"/>
              </w:rPr>
              <w:t>FG37</w:t>
            </w:r>
          </w:p>
          <w:p>
            <w:pPr>
              <w:rPr>
                <w:sz w:val="22"/>
                <w:szCs w:val="22"/>
              </w:rPr>
            </w:pPr>
            <w:r>
              <w:rPr>
                <w:sz w:val="22"/>
                <w:szCs w:val="22"/>
              </w:rPr>
              <w:t>Abt.3</w:t>
            </w:r>
          </w:p>
          <w:p>
            <w:pPr>
              <w:rPr>
                <w:sz w:val="22"/>
                <w:szCs w:val="22"/>
              </w:rPr>
            </w:pPr>
          </w:p>
          <w:p>
            <w:pPr>
              <w:rPr>
                <w:sz w:val="22"/>
                <w:szCs w:val="22"/>
              </w:rPr>
            </w:pPr>
          </w:p>
        </w:tc>
      </w:tr>
      <w:tr>
        <w:tc>
          <w:tcPr>
            <w:tcW w:w="684" w:type="dxa"/>
          </w:tcPr>
          <w:p>
            <w:pPr>
              <w:rPr>
                <w:b/>
              </w:rPr>
            </w:pPr>
            <w:r>
              <w:rPr>
                <w:b/>
              </w:rPr>
              <w:lastRenderedPageBreak/>
              <w:t>7</w:t>
            </w:r>
          </w:p>
        </w:tc>
        <w:tc>
          <w:tcPr>
            <w:tcW w:w="6795" w:type="dxa"/>
          </w:tcPr>
          <w:p>
            <w:pPr>
              <w:rPr>
                <w:b/>
                <w:sz w:val="28"/>
              </w:rPr>
            </w:pPr>
            <w:r>
              <w:rPr>
                <w:b/>
                <w:sz w:val="28"/>
              </w:rPr>
              <w:t>Klinisches Management/Entlassungsmanagement</w:t>
            </w:r>
          </w:p>
          <w:p>
            <w:pPr>
              <w:pStyle w:val="Listenabsatz"/>
              <w:numPr>
                <w:ilvl w:val="0"/>
                <w:numId w:val="11"/>
              </w:numPr>
              <w:rPr>
                <w:sz w:val="22"/>
              </w:rPr>
            </w:pPr>
            <w:r>
              <w:rPr>
                <w:sz w:val="22"/>
              </w:rPr>
              <w:t xml:space="preserve">Maßnahmen beim Umgang mit HCW als Kontaktpersonen 1. Grades: an Konzept (Handlungsoptionen adaptiert an die konkrete Situation mit Unikliniken Aachen und Köln wird gearbeitet, eine Einbeziehung von Hr. </w:t>
            </w:r>
            <w:proofErr w:type="spellStart"/>
            <w:r>
              <w:rPr>
                <w:sz w:val="22"/>
              </w:rPr>
              <w:t>Drosten</w:t>
            </w:r>
            <w:proofErr w:type="spellEnd"/>
            <w:r>
              <w:rPr>
                <w:sz w:val="22"/>
              </w:rPr>
              <w:t xml:space="preserve"> (</w:t>
            </w:r>
            <w:proofErr w:type="spellStart"/>
            <w:r>
              <w:rPr>
                <w:sz w:val="22"/>
              </w:rPr>
              <w:t>Charite</w:t>
            </w:r>
            <w:proofErr w:type="spellEnd"/>
            <w:r>
              <w:rPr>
                <w:sz w:val="22"/>
              </w:rPr>
              <w:t xml:space="preserve">) wäre wünschenswert. Es handelt sich um Einzelfallentscheidungen </w:t>
            </w:r>
            <w:proofErr w:type="gramStart"/>
            <w:r>
              <w:rPr>
                <w:sz w:val="22"/>
              </w:rPr>
              <w:t>im medizinischen Einrichtungen</w:t>
            </w:r>
            <w:proofErr w:type="gramEnd"/>
            <w:r>
              <w:rPr>
                <w:sz w:val="22"/>
              </w:rPr>
              <w:t xml:space="preserve">, grundsätzlich wird weiter am Konzept zur </w:t>
            </w:r>
            <w:proofErr w:type="spellStart"/>
            <w:r>
              <w:rPr>
                <w:sz w:val="22"/>
              </w:rPr>
              <w:t>KoNa</w:t>
            </w:r>
            <w:proofErr w:type="spellEnd"/>
            <w:r>
              <w:rPr>
                <w:sz w:val="22"/>
              </w:rPr>
              <w:t xml:space="preserve"> festgehalten.</w:t>
            </w:r>
          </w:p>
          <w:p>
            <w:pPr>
              <w:pStyle w:val="Listenabsatz"/>
              <w:numPr>
                <w:ilvl w:val="0"/>
                <w:numId w:val="11"/>
              </w:numPr>
              <w:rPr>
                <w:sz w:val="22"/>
              </w:rPr>
            </w:pPr>
            <w:r>
              <w:rPr>
                <w:sz w:val="22"/>
              </w:rPr>
              <w:t xml:space="preserve">Entlassungsmanagement: </w:t>
            </w:r>
          </w:p>
          <w:p>
            <w:pPr>
              <w:pStyle w:val="Listenabsatz"/>
              <w:numPr>
                <w:ilvl w:val="1"/>
                <w:numId w:val="11"/>
              </w:numPr>
              <w:rPr>
                <w:i/>
                <w:sz w:val="22"/>
              </w:rPr>
            </w:pPr>
            <w:r>
              <w:rPr>
                <w:sz w:val="22"/>
              </w:rPr>
              <w:t xml:space="preserve">Eine Entlassung anhand klinischer Kriterien aus dem KH in die häusliche Isolierung ist möglich. Es muss entschieden werden, wann die häusliche Isolierung aufgehoben werden kann. Dafür wird eine pragmatische Lösung nach einer bestimmten Dauer im Vergleich zu „Freitestung“ favorisiert. </w:t>
            </w:r>
          </w:p>
          <w:p>
            <w:pPr>
              <w:pStyle w:val="Listenabsatz"/>
              <w:numPr>
                <w:ilvl w:val="1"/>
                <w:numId w:val="11"/>
              </w:numPr>
              <w:rPr>
                <w:i/>
                <w:sz w:val="22"/>
              </w:rPr>
            </w:pPr>
            <w:r>
              <w:rPr>
                <w:sz w:val="22"/>
              </w:rPr>
              <w:t>Dafür muss geklärt werden, wie lange die Ausscheidungsdauer ist. Dann kann ein Zeitraum festgelegt werden und der Patient nach diesem ohne weitere Testung entlassen werden. (Ausgegangen wird von 14-21 Tagen bei Einhaltung von Standardhygienemaßnahmen.)</w:t>
            </w:r>
          </w:p>
          <w:p>
            <w:pPr>
              <w:rPr>
                <w:i/>
                <w:sz w:val="22"/>
              </w:rPr>
            </w:pPr>
            <w:proofErr w:type="spellStart"/>
            <w:r>
              <w:rPr>
                <w:i/>
                <w:sz w:val="22"/>
              </w:rPr>
              <w:t>ToDo</w:t>
            </w:r>
            <w:proofErr w:type="spellEnd"/>
            <w:r>
              <w:rPr>
                <w:i/>
                <w:sz w:val="22"/>
              </w:rPr>
              <w:t>: Aufhebung der häuslichen Isolierung (nach Krankenhausentlassung) definieren (IBBS, Abt. 1, FG36)</w:t>
            </w:r>
          </w:p>
          <w:p>
            <w:pPr>
              <w:rPr>
                <w:i/>
                <w:sz w:val="22"/>
              </w:rPr>
            </w:pPr>
          </w:p>
          <w:p>
            <w:pPr>
              <w:pStyle w:val="Listenabsatz"/>
              <w:numPr>
                <w:ilvl w:val="0"/>
                <w:numId w:val="16"/>
              </w:numPr>
              <w:rPr>
                <w:sz w:val="22"/>
              </w:rPr>
            </w:pPr>
            <w:r>
              <w:rPr>
                <w:sz w:val="22"/>
              </w:rPr>
              <w:t>Planungstool zur Vorhersage der benötigten Anzahl Krankenhaus- und Intensivbetten für die nächsten Wochen</w:t>
            </w:r>
          </w:p>
          <w:p>
            <w:pPr>
              <w:pStyle w:val="Listenabsatz"/>
              <w:numPr>
                <w:ilvl w:val="1"/>
                <w:numId w:val="16"/>
              </w:numPr>
              <w:rPr>
                <w:sz w:val="22"/>
              </w:rPr>
            </w:pPr>
            <w:r>
              <w:rPr>
                <w:sz w:val="22"/>
              </w:rPr>
              <w:t>Webbasiertes Tool bei dem Parameter eingestellt werden können, schätzt neue Fälle, aktive Fälle, neue Hospitalisierungen, belegte Betten Normalstation, Inzidenz Intensivstation, Belegung Intensivbetten</w:t>
            </w:r>
          </w:p>
          <w:p>
            <w:pPr>
              <w:pStyle w:val="Listenabsatz"/>
              <w:numPr>
                <w:ilvl w:val="1"/>
                <w:numId w:val="16"/>
              </w:numPr>
              <w:rPr>
                <w:sz w:val="22"/>
              </w:rPr>
            </w:pPr>
            <w:r>
              <w:rPr>
                <w:sz w:val="22"/>
              </w:rPr>
              <w:t>Vorteil an webbasiertem Tool: Verbesserungen können kontinuierlich eingebracht werden</w:t>
            </w:r>
          </w:p>
          <w:p>
            <w:pPr>
              <w:pStyle w:val="Listenabsatz"/>
              <w:numPr>
                <w:ilvl w:val="1"/>
                <w:numId w:val="16"/>
              </w:numPr>
              <w:rPr>
                <w:sz w:val="22"/>
              </w:rPr>
            </w:pPr>
            <w:r>
              <w:rPr>
                <w:sz w:val="22"/>
              </w:rPr>
              <w:t>Externes Hosting ist nötig</w:t>
            </w:r>
          </w:p>
          <w:p>
            <w:pPr>
              <w:pStyle w:val="Listenabsatz"/>
              <w:numPr>
                <w:ilvl w:val="1"/>
                <w:numId w:val="16"/>
              </w:numPr>
              <w:rPr>
                <w:sz w:val="22"/>
              </w:rPr>
            </w:pPr>
            <w:r>
              <w:rPr>
                <w:sz w:val="22"/>
              </w:rPr>
              <w:t>Zugriff müsste auf Personen, die Versorgung planen, beschränkt werden (Landesministerien).</w:t>
            </w:r>
          </w:p>
          <w:p>
            <w:pPr>
              <w:pStyle w:val="Listenabsatz"/>
              <w:numPr>
                <w:ilvl w:val="1"/>
                <w:numId w:val="16"/>
              </w:numPr>
              <w:rPr>
                <w:sz w:val="22"/>
              </w:rPr>
            </w:pPr>
            <w:r>
              <w:rPr>
                <w:sz w:val="22"/>
              </w:rPr>
              <w:t xml:space="preserve">Wurde durch chinesische Daten validiert, verfügbare Daten aus Italien könnten genutzt werden. Modell soll </w:t>
            </w:r>
            <w:r>
              <w:rPr>
                <w:sz w:val="22"/>
              </w:rPr>
              <w:lastRenderedPageBreak/>
              <w:t>weiterentwickelt und bald verfügbar gemacht werden.</w:t>
            </w:r>
          </w:p>
          <w:p/>
        </w:tc>
        <w:tc>
          <w:tcPr>
            <w:tcW w:w="1492" w:type="dxa"/>
          </w:tcPr>
          <w:p>
            <w:pPr>
              <w:rPr>
                <w:sz w:val="22"/>
                <w:szCs w:val="22"/>
              </w:rPr>
            </w:pPr>
          </w:p>
          <w:p>
            <w:pPr>
              <w:rPr>
                <w:sz w:val="22"/>
                <w:szCs w:val="22"/>
              </w:rPr>
            </w:pPr>
            <w:r>
              <w:rPr>
                <w:sz w:val="22"/>
                <w:szCs w:val="22"/>
              </w:rPr>
              <w:t>FG37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IBBS</w:t>
            </w:r>
          </w:p>
          <w:p>
            <w:pPr>
              <w:rPr>
                <w:sz w:val="22"/>
                <w:szCs w:val="22"/>
              </w:rPr>
            </w:pPr>
            <w:r>
              <w:rPr>
                <w:sz w:val="22"/>
                <w:szCs w:val="22"/>
              </w:rPr>
              <w:t>FG17</w:t>
            </w: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tc>
      </w:tr>
      <w:tr>
        <w:tc>
          <w:tcPr>
            <w:tcW w:w="684" w:type="dxa"/>
          </w:tcPr>
          <w:p>
            <w:pPr>
              <w:rPr>
                <w:b/>
              </w:rPr>
            </w:pPr>
            <w:r>
              <w:rPr>
                <w:b/>
              </w:rPr>
              <w:t>8</w:t>
            </w:r>
          </w:p>
        </w:tc>
        <w:tc>
          <w:tcPr>
            <w:tcW w:w="6795" w:type="dxa"/>
          </w:tcPr>
          <w:p>
            <w:pPr>
              <w:rPr>
                <w:b/>
                <w:sz w:val="28"/>
              </w:rPr>
            </w:pPr>
            <w:r>
              <w:rPr>
                <w:b/>
                <w:sz w:val="28"/>
              </w:rPr>
              <w:t>Maßnahmen zum Infektionsschutz</w:t>
            </w:r>
          </w:p>
          <w:p>
            <w:pPr>
              <w:pStyle w:val="Listenabsatz"/>
              <w:numPr>
                <w:ilvl w:val="0"/>
                <w:numId w:val="11"/>
              </w:numPr>
              <w:rPr>
                <w:sz w:val="22"/>
                <w:szCs w:val="22"/>
              </w:rPr>
            </w:pPr>
            <w:r>
              <w:rPr>
                <w:sz w:val="22"/>
                <w:szCs w:val="22"/>
              </w:rPr>
              <w:t xml:space="preserve">Konzept </w:t>
            </w:r>
            <w:proofErr w:type="spellStart"/>
            <w:r>
              <w:rPr>
                <w:sz w:val="22"/>
                <w:szCs w:val="22"/>
              </w:rPr>
              <w:t>KoNa</w:t>
            </w:r>
            <w:proofErr w:type="spellEnd"/>
            <w:r>
              <w:rPr>
                <w:sz w:val="22"/>
                <w:szCs w:val="22"/>
              </w:rPr>
              <w:t>: Finanzierungsfrage muss geklärt werden; Kontaktaufnahme mit Hr. Lampert wegen GERN-Teams</w:t>
            </w:r>
          </w:p>
          <w:p>
            <w:pPr>
              <w:rPr>
                <w:i/>
                <w:sz w:val="22"/>
              </w:rPr>
            </w:pPr>
            <w:proofErr w:type="spellStart"/>
            <w:r>
              <w:rPr>
                <w:i/>
                <w:sz w:val="22"/>
              </w:rPr>
              <w:t>ToDo</w:t>
            </w:r>
            <w:proofErr w:type="spellEnd"/>
            <w:r>
              <w:rPr>
                <w:i/>
                <w:sz w:val="22"/>
              </w:rPr>
              <w:t>: Hr. Thelen soll Finanzierung aus Sondermittel BMG beantragen.</w:t>
            </w:r>
          </w:p>
          <w:p>
            <w:pPr>
              <w:rPr>
                <w:i/>
                <w:sz w:val="22"/>
              </w:rPr>
            </w:pPr>
          </w:p>
          <w:p>
            <w:pPr>
              <w:pStyle w:val="Listenabsatz"/>
              <w:numPr>
                <w:ilvl w:val="0"/>
                <w:numId w:val="11"/>
              </w:numPr>
              <w:rPr>
                <w:sz w:val="22"/>
              </w:rPr>
            </w:pPr>
            <w:r>
              <w:rPr>
                <w:sz w:val="22"/>
              </w:rPr>
              <w:t>Update zu Massenveranstaltungen: Es gab eine Anfrage zu med. Kongressen/Messen. Antwort durch Pressestelle: sollen Veranstalter mit den Behörden vor Ort selbst entscheiden. Hinweis andere med. Kongresse wurden bereits abgesagt.</w:t>
            </w:r>
          </w:p>
          <w:p>
            <w:pPr>
              <w:rPr>
                <w:i/>
                <w:sz w:val="22"/>
              </w:rPr>
            </w:pPr>
            <w:proofErr w:type="spellStart"/>
            <w:r>
              <w:rPr>
                <w:i/>
                <w:sz w:val="22"/>
              </w:rPr>
              <w:t>ToDo</w:t>
            </w:r>
            <w:proofErr w:type="spellEnd"/>
            <w:r>
              <w:rPr>
                <w:i/>
                <w:sz w:val="22"/>
              </w:rPr>
              <w:t>: Weiterleitung der Email an Pressestelle (FG36)</w:t>
            </w:r>
          </w:p>
          <w:p>
            <w:pPr>
              <w:rPr>
                <w:b/>
                <w:sz w:val="22"/>
              </w:rPr>
            </w:pPr>
          </w:p>
        </w:tc>
        <w:tc>
          <w:tcPr>
            <w:tcW w:w="1492" w:type="dxa"/>
          </w:tcPr>
          <w:p>
            <w:pPr>
              <w:rPr>
                <w:sz w:val="22"/>
                <w:szCs w:val="22"/>
              </w:rPr>
            </w:pPr>
          </w:p>
          <w:p>
            <w:pPr>
              <w:rPr>
                <w:sz w:val="22"/>
                <w:szCs w:val="22"/>
              </w:rPr>
            </w:pPr>
          </w:p>
          <w:p>
            <w:pPr>
              <w:rPr>
                <w:sz w:val="22"/>
                <w:szCs w:val="22"/>
              </w:rPr>
            </w:pPr>
            <w:r>
              <w:rPr>
                <w:sz w:val="22"/>
                <w:szCs w:val="22"/>
              </w:rPr>
              <w:t>FG37</w:t>
            </w:r>
          </w:p>
        </w:tc>
      </w:tr>
      <w:tr>
        <w:tc>
          <w:tcPr>
            <w:tcW w:w="684" w:type="dxa"/>
          </w:tcPr>
          <w:p>
            <w:pPr>
              <w:rPr>
                <w:b/>
              </w:rPr>
            </w:pPr>
            <w:r>
              <w:rPr>
                <w:b/>
              </w:rPr>
              <w:t>9</w:t>
            </w:r>
          </w:p>
        </w:tc>
        <w:tc>
          <w:tcPr>
            <w:tcW w:w="6795" w:type="dxa"/>
          </w:tcPr>
          <w:p>
            <w:pPr>
              <w:rPr>
                <w:b/>
                <w:sz w:val="22"/>
              </w:rPr>
            </w:pPr>
            <w:r>
              <w:rPr>
                <w:b/>
                <w:sz w:val="28"/>
              </w:rPr>
              <w:t>Surveillance</w:t>
            </w:r>
          </w:p>
          <w:p>
            <w:pPr>
              <w:pStyle w:val="Listenabsatz"/>
              <w:numPr>
                <w:ilvl w:val="0"/>
                <w:numId w:val="9"/>
              </w:numPr>
              <w:rPr>
                <w:sz w:val="22"/>
                <w:szCs w:val="22"/>
              </w:rPr>
            </w:pPr>
            <w:r>
              <w:rPr>
                <w:sz w:val="22"/>
                <w:szCs w:val="22"/>
              </w:rPr>
              <w:t>ECDC TESSY und Datenschutz: laut Hr. Lekschas erfolgt  Datenübermittlung ans ECDC ohne Rechtsgrundlage, BMG hat sich dazu nicht in schriftlicher Form geäußert.</w:t>
            </w:r>
          </w:p>
          <w:p>
            <w:pPr>
              <w:spacing w:after="120"/>
              <w:rPr>
                <w:i/>
                <w:sz w:val="22"/>
              </w:rPr>
            </w:pPr>
            <w:proofErr w:type="spellStart"/>
            <w:r>
              <w:rPr>
                <w:i/>
                <w:sz w:val="22"/>
              </w:rPr>
              <w:t>ToDo</w:t>
            </w:r>
            <w:proofErr w:type="spellEnd"/>
            <w:r>
              <w:rPr>
                <w:i/>
                <w:sz w:val="22"/>
              </w:rPr>
              <w:t>: Besprechungstermin mit Hr. Lekschas, Fr. Mehlitz organisieren</w:t>
            </w:r>
          </w:p>
          <w:p>
            <w:pPr>
              <w:pStyle w:val="Listenabsatz"/>
              <w:numPr>
                <w:ilvl w:val="0"/>
                <w:numId w:val="9"/>
              </w:numPr>
              <w:rPr>
                <w:sz w:val="22"/>
              </w:rPr>
            </w:pPr>
            <w:r>
              <w:rPr>
                <w:sz w:val="22"/>
                <w:szCs w:val="22"/>
              </w:rPr>
              <w:t xml:space="preserve">Antrag von Gérard Krause mit nationaler Kohorte zu serologischer Testung (Ausgangssituation und retrospektiv tatsächliche Infektionsrate) hängt von Validierung der Serologie ab, an </w:t>
            </w:r>
            <w:proofErr w:type="spellStart"/>
            <w:r>
              <w:rPr>
                <w:sz w:val="22"/>
                <w:szCs w:val="22"/>
              </w:rPr>
              <w:t>Assays</w:t>
            </w:r>
            <w:proofErr w:type="spellEnd"/>
            <w:r>
              <w:rPr>
                <w:sz w:val="22"/>
                <w:szCs w:val="22"/>
              </w:rPr>
              <w:t xml:space="preserve"> wird gearbeitet. Es besteht Interesse, Rückmeldung durch FG36.</w:t>
            </w:r>
          </w:p>
          <w:p>
            <w:pPr>
              <w:rPr>
                <w:b/>
                <w:sz w:val="28"/>
              </w:rPr>
            </w:pPr>
          </w:p>
        </w:tc>
        <w:tc>
          <w:tcPr>
            <w:tcW w:w="1492" w:type="dxa"/>
          </w:tcPr>
          <w:p>
            <w:pPr>
              <w:rPr>
                <w:sz w:val="22"/>
                <w:szCs w:val="22"/>
              </w:rPr>
            </w:pPr>
          </w:p>
          <w:p>
            <w:pPr>
              <w:rPr>
                <w:sz w:val="22"/>
                <w:szCs w:val="22"/>
              </w:rPr>
            </w:pPr>
          </w:p>
          <w:p>
            <w:pPr>
              <w:rPr>
                <w:sz w:val="22"/>
                <w:szCs w:val="22"/>
              </w:rPr>
            </w:pPr>
            <w:r>
              <w:rPr>
                <w:sz w:val="22"/>
                <w:szCs w:val="22"/>
              </w:rPr>
              <w:t>FG32/AL3</w:t>
            </w:r>
          </w:p>
          <w:p>
            <w:pPr>
              <w:rPr>
                <w:sz w:val="22"/>
                <w:szCs w:val="22"/>
              </w:rPr>
            </w:pPr>
          </w:p>
          <w:p>
            <w:pPr>
              <w:rPr>
                <w:sz w:val="22"/>
                <w:szCs w:val="22"/>
              </w:rPr>
            </w:pPr>
          </w:p>
          <w:p>
            <w:pPr>
              <w:rPr>
                <w:sz w:val="22"/>
                <w:szCs w:val="22"/>
              </w:rPr>
            </w:pPr>
          </w:p>
          <w:p>
            <w:pPr>
              <w:rPr>
                <w:sz w:val="22"/>
                <w:szCs w:val="22"/>
              </w:rPr>
            </w:pPr>
            <w:r>
              <w:rPr>
                <w:sz w:val="22"/>
                <w:szCs w:val="22"/>
              </w:rPr>
              <w:t xml:space="preserve">FG36/AL3 </w:t>
            </w:r>
          </w:p>
        </w:tc>
      </w:tr>
      <w:tr>
        <w:tc>
          <w:tcPr>
            <w:tcW w:w="684" w:type="dxa"/>
          </w:tcPr>
          <w:p>
            <w:pPr>
              <w:rPr>
                <w:b/>
              </w:rPr>
            </w:pPr>
            <w:r>
              <w:rPr>
                <w:b/>
              </w:rPr>
              <w:t>10</w:t>
            </w:r>
          </w:p>
        </w:tc>
        <w:tc>
          <w:tcPr>
            <w:tcW w:w="6795" w:type="dxa"/>
          </w:tcPr>
          <w:p>
            <w:pPr>
              <w:rPr>
                <w:b/>
                <w:sz w:val="28"/>
              </w:rPr>
            </w:pPr>
            <w:r>
              <w:rPr>
                <w:b/>
                <w:sz w:val="28"/>
              </w:rPr>
              <w:t>Transport und Grenzübergangsstellen</w:t>
            </w:r>
          </w:p>
          <w:p>
            <w:pPr>
              <w:pStyle w:val="Listenabsatz"/>
              <w:numPr>
                <w:ilvl w:val="0"/>
                <w:numId w:val="9"/>
              </w:numPr>
              <w:rPr>
                <w:sz w:val="22"/>
                <w:szCs w:val="22"/>
              </w:rPr>
            </w:pPr>
            <w:r>
              <w:rPr>
                <w:sz w:val="22"/>
                <w:szCs w:val="22"/>
              </w:rPr>
              <w:t>Keine Besonderheiten</w:t>
            </w:r>
          </w:p>
        </w:tc>
        <w:tc>
          <w:tcPr>
            <w:tcW w:w="1492" w:type="dxa"/>
          </w:tcPr>
          <w:p>
            <w:pPr>
              <w:rPr>
                <w:sz w:val="22"/>
                <w:szCs w:val="22"/>
              </w:rPr>
            </w:pPr>
          </w:p>
          <w:p>
            <w:pPr>
              <w:rPr>
                <w:sz w:val="22"/>
                <w:szCs w:val="22"/>
              </w:rPr>
            </w:pPr>
            <w:r>
              <w:rPr>
                <w:sz w:val="22"/>
                <w:szCs w:val="22"/>
              </w:rPr>
              <w:t>FG32</w:t>
            </w:r>
          </w:p>
          <w:p>
            <w:pPr>
              <w:rPr>
                <w:sz w:val="22"/>
                <w:szCs w:val="22"/>
              </w:rPr>
            </w:pPr>
          </w:p>
        </w:tc>
      </w:tr>
      <w:tr>
        <w:tc>
          <w:tcPr>
            <w:tcW w:w="684" w:type="dxa"/>
          </w:tcPr>
          <w:p>
            <w:pPr>
              <w:rPr>
                <w:b/>
              </w:rPr>
            </w:pPr>
            <w:r>
              <w:rPr>
                <w:b/>
              </w:rPr>
              <w:t>11</w:t>
            </w:r>
          </w:p>
        </w:tc>
        <w:tc>
          <w:tcPr>
            <w:tcW w:w="6795" w:type="dxa"/>
          </w:tcPr>
          <w:p>
            <w:pPr>
              <w:rPr>
                <w:b/>
                <w:sz w:val="28"/>
              </w:rPr>
            </w:pPr>
            <w:r>
              <w:rPr>
                <w:b/>
                <w:sz w:val="28"/>
              </w:rPr>
              <w:t>Internationales</w:t>
            </w:r>
          </w:p>
          <w:p>
            <w:pPr>
              <w:pStyle w:val="Listenabsatz"/>
              <w:numPr>
                <w:ilvl w:val="0"/>
                <w:numId w:val="9"/>
              </w:numPr>
              <w:rPr>
                <w:b/>
                <w:sz w:val="22"/>
                <w:szCs w:val="22"/>
              </w:rPr>
            </w:pPr>
            <w:r>
              <w:rPr>
                <w:sz w:val="22"/>
                <w:szCs w:val="22"/>
              </w:rPr>
              <w:t>In Namibia und der Elfenbeinküste sind Trainings zu Preparedness/Labordiagnostik geplant mit African CDC.</w:t>
            </w:r>
            <w:r>
              <w:rPr>
                <w:b/>
                <w:sz w:val="22"/>
                <w:szCs w:val="22"/>
              </w:rPr>
              <w:br/>
            </w:r>
          </w:p>
        </w:tc>
        <w:tc>
          <w:tcPr>
            <w:tcW w:w="1492" w:type="dxa"/>
          </w:tcPr>
          <w:p>
            <w:pPr>
              <w:rPr>
                <w:sz w:val="22"/>
                <w:szCs w:val="22"/>
              </w:rPr>
            </w:pPr>
          </w:p>
          <w:p>
            <w:pPr>
              <w:rPr>
                <w:sz w:val="22"/>
                <w:szCs w:val="22"/>
              </w:rPr>
            </w:pPr>
          </w:p>
          <w:p>
            <w:pPr>
              <w:rPr>
                <w:sz w:val="22"/>
                <w:szCs w:val="22"/>
              </w:rPr>
            </w:pPr>
            <w:r>
              <w:rPr>
                <w:sz w:val="22"/>
                <w:szCs w:val="22"/>
              </w:rPr>
              <w:t>ZIG</w:t>
            </w:r>
          </w:p>
        </w:tc>
      </w:tr>
      <w:tr>
        <w:tc>
          <w:tcPr>
            <w:tcW w:w="684" w:type="dxa"/>
          </w:tcPr>
          <w:p>
            <w:pPr>
              <w:rPr>
                <w:b/>
              </w:rPr>
            </w:pPr>
            <w:r>
              <w:rPr>
                <w:b/>
              </w:rPr>
              <w:t>12</w:t>
            </w:r>
          </w:p>
        </w:tc>
        <w:tc>
          <w:tcPr>
            <w:tcW w:w="6795" w:type="dxa"/>
          </w:tcPr>
          <w:p>
            <w:pPr>
              <w:rPr>
                <w:b/>
                <w:sz w:val="28"/>
              </w:rPr>
            </w:pPr>
            <w:r>
              <w:rPr>
                <w:b/>
                <w:sz w:val="28"/>
              </w:rPr>
              <w:t>Informationen aus dem Lagezentrum</w:t>
            </w:r>
          </w:p>
          <w:p>
            <w:pPr>
              <w:pStyle w:val="Listenabsatz"/>
              <w:numPr>
                <w:ilvl w:val="0"/>
                <w:numId w:val="7"/>
              </w:numPr>
              <w:rPr>
                <w:i/>
                <w:sz w:val="22"/>
              </w:rPr>
            </w:pPr>
            <w:r>
              <w:rPr>
                <w:sz w:val="22"/>
              </w:rPr>
              <w:t xml:space="preserve">IHR </w:t>
            </w:r>
            <w:proofErr w:type="spellStart"/>
            <w:r>
              <w:rPr>
                <w:sz w:val="22"/>
              </w:rPr>
              <w:t>Focal</w:t>
            </w:r>
            <w:proofErr w:type="spellEnd"/>
            <w:r>
              <w:rPr>
                <w:sz w:val="22"/>
              </w:rPr>
              <w:t xml:space="preserve"> Point, EMOTET Filter: RKI kann keine internationalen Attachements empfangen.</w:t>
            </w:r>
          </w:p>
          <w:p/>
        </w:tc>
        <w:tc>
          <w:tcPr>
            <w:tcW w:w="1492" w:type="dxa"/>
          </w:tcPr>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t>13</w:t>
            </w:r>
          </w:p>
        </w:tc>
        <w:tc>
          <w:tcPr>
            <w:tcW w:w="6795" w:type="dxa"/>
          </w:tcPr>
          <w:p>
            <w:pPr>
              <w:rPr>
                <w:b/>
                <w:sz w:val="28"/>
              </w:rPr>
            </w:pPr>
            <w:r>
              <w:rPr>
                <w:b/>
                <w:sz w:val="28"/>
              </w:rPr>
              <w:t>Andere Themen</w:t>
            </w:r>
          </w:p>
          <w:p>
            <w:pPr>
              <w:pStyle w:val="Listenabsatz"/>
              <w:numPr>
                <w:ilvl w:val="0"/>
                <w:numId w:val="3"/>
              </w:numPr>
              <w:rPr>
                <w:sz w:val="22"/>
              </w:rPr>
            </w:pPr>
            <w:r>
              <w:rPr>
                <w:sz w:val="22"/>
              </w:rPr>
              <w:t>Nächste Sitzung: Montag, 09.03.2020, 13:00-14:30 Uhr, Lagezentrum Besprechungsraum</w:t>
            </w:r>
            <w:r>
              <w:rPr>
                <w:sz w:val="22"/>
              </w:rPr>
              <w:br/>
            </w:r>
          </w:p>
        </w:tc>
        <w:tc>
          <w:tcPr>
            <w:tcW w:w="1492" w:type="dxa"/>
          </w:tcPr>
          <w:p>
            <w:pPr>
              <w:rPr>
                <w:sz w:val="22"/>
                <w:szCs w:val="22"/>
              </w:rPr>
            </w:pPr>
          </w:p>
        </w:tc>
      </w:tr>
    </w:tbl>
    <w:p>
      <w:pPr>
        <w:spacing w:after="240" w:line="360" w:lineRule="auto"/>
      </w:pPr>
    </w:p>
    <w:sectPr>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Koordinierungsstelle des RKI </w:t>
    </w:r>
    <w:r>
      <w:rPr>
        <w:color w:val="1F497D" w:themeColor="text2"/>
      </w:rPr>
      <w:tab/>
    </w:r>
    <w:r>
      <w:rPr>
        <w:color w:val="1F497D" w:themeColor="text2"/>
      </w:rPr>
      <w:tab/>
      <w:t>Agenda der 2019nCoV-Lage-AG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8E5"/>
    <w:multiLevelType w:val="hybridMultilevel"/>
    <w:tmpl w:val="9372F3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C418AF"/>
    <w:multiLevelType w:val="hybridMultilevel"/>
    <w:tmpl w:val="56186EB4"/>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766914"/>
    <w:multiLevelType w:val="hybridMultilevel"/>
    <w:tmpl w:val="D4F66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665DED"/>
    <w:multiLevelType w:val="hybridMultilevel"/>
    <w:tmpl w:val="0D561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07288A"/>
    <w:multiLevelType w:val="hybridMultilevel"/>
    <w:tmpl w:val="84FAD3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A181420"/>
    <w:multiLevelType w:val="hybridMultilevel"/>
    <w:tmpl w:val="B0AE78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873EBF"/>
    <w:multiLevelType w:val="hybridMultilevel"/>
    <w:tmpl w:val="ED6CFA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7B6714"/>
    <w:multiLevelType w:val="hybridMultilevel"/>
    <w:tmpl w:val="4904B5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6456F5"/>
    <w:multiLevelType w:val="hybridMultilevel"/>
    <w:tmpl w:val="2FB6DA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AD80CAE"/>
    <w:multiLevelType w:val="hybridMultilevel"/>
    <w:tmpl w:val="3E1039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3FD59C2"/>
    <w:multiLevelType w:val="hybridMultilevel"/>
    <w:tmpl w:val="A70C21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D4909FA"/>
    <w:multiLevelType w:val="hybridMultilevel"/>
    <w:tmpl w:val="EE0AB0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E204CF2"/>
    <w:multiLevelType w:val="hybridMultilevel"/>
    <w:tmpl w:val="297259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F029DC"/>
    <w:multiLevelType w:val="hybridMultilevel"/>
    <w:tmpl w:val="299E1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5"/>
  </w:num>
  <w:num w:numId="4">
    <w:abstractNumId w:val="4"/>
  </w:num>
  <w:num w:numId="5">
    <w:abstractNumId w:val="14"/>
  </w:num>
  <w:num w:numId="6">
    <w:abstractNumId w:val="7"/>
  </w:num>
  <w:num w:numId="7">
    <w:abstractNumId w:val="16"/>
  </w:num>
  <w:num w:numId="8">
    <w:abstractNumId w:val="6"/>
  </w:num>
  <w:num w:numId="9">
    <w:abstractNumId w:val="12"/>
  </w:num>
  <w:num w:numId="10">
    <w:abstractNumId w:val="19"/>
  </w:num>
  <w:num w:numId="11">
    <w:abstractNumId w:val="8"/>
  </w:num>
  <w:num w:numId="12">
    <w:abstractNumId w:val="17"/>
  </w:num>
  <w:num w:numId="13">
    <w:abstractNumId w:val="2"/>
  </w:num>
  <w:num w:numId="14">
    <w:abstractNumId w:val="1"/>
  </w:num>
  <w:num w:numId="15">
    <w:abstractNumId w:val="11"/>
  </w:num>
  <w:num w:numId="16">
    <w:abstractNumId w:val="0"/>
  </w:num>
  <w:num w:numId="17">
    <w:abstractNumId w:val="3"/>
  </w:num>
  <w:num w:numId="18">
    <w:abstractNumId w:val="13"/>
  </w:num>
  <w:num w:numId="19">
    <w:abstractNumId w:val="18"/>
  </w:num>
  <w:num w:numId="20">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EFFA729C-9F0E-41CD-B908-1AA6ED57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96161113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2019-nCoV_risikogebiet_2020-03-06_Final.ppt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D10F-8C1E-4D1A-84DF-C2BB36D12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1482</Words>
  <Characters>9339</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48</cp:revision>
  <dcterms:created xsi:type="dcterms:W3CDTF">2020-03-06T14:34:00Z</dcterms:created>
  <dcterms:modified xsi:type="dcterms:W3CDTF">2021-04-12T14:12:00Z</dcterms:modified>
</cp:coreProperties>
</file>