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B6" w:rsidRPr="00586D0F" w:rsidRDefault="00C943AD" w:rsidP="003C0E78">
      <w:pPr>
        <w:pStyle w:val="Default"/>
        <w:rPr>
          <w:lang w:val="en-GB"/>
        </w:rPr>
      </w:pPr>
      <w:r w:rsidRPr="00D66392">
        <w:rPr>
          <w:b/>
          <w:sz w:val="28"/>
          <w:lang w:val="en-GB"/>
        </w:rPr>
        <w:t xml:space="preserve">Community measures – recommendations and practices based on ECDC rapid risk assessment of </w:t>
      </w:r>
      <w:r w:rsidR="008D22F1" w:rsidRPr="00D66392">
        <w:rPr>
          <w:b/>
          <w:sz w:val="28"/>
          <w:lang w:val="en-GB"/>
        </w:rPr>
        <w:t>1</w:t>
      </w:r>
      <w:r w:rsidRPr="00D66392">
        <w:rPr>
          <w:b/>
          <w:sz w:val="28"/>
          <w:lang w:val="en-GB"/>
        </w:rPr>
        <w:t>2 March</w:t>
      </w:r>
      <w:r w:rsidR="003F36E2" w:rsidRPr="00D66392">
        <w:rPr>
          <w:b/>
          <w:sz w:val="28"/>
          <w:lang w:val="en-GB"/>
        </w:rPr>
        <w:t xml:space="preserve"> described by scenarios</w:t>
      </w:r>
      <w:r w:rsidRPr="003F36E2">
        <w:rPr>
          <w:rStyle w:val="Funotenzeichen"/>
          <w:b/>
          <w:sz w:val="28"/>
        </w:rPr>
        <w:footnoteReference w:id="1"/>
      </w:r>
      <w:r w:rsidRPr="00D66392">
        <w:rPr>
          <w:b/>
          <w:sz w:val="28"/>
          <w:lang w:val="en-GB"/>
        </w:rPr>
        <w:t xml:space="preserve"> and measures </w:t>
      </w:r>
      <w:r w:rsidR="00636229" w:rsidRPr="00D66392">
        <w:rPr>
          <w:b/>
          <w:sz w:val="28"/>
          <w:lang w:val="en-GB"/>
        </w:rPr>
        <w:t xml:space="preserve">implemented </w:t>
      </w:r>
      <w:r w:rsidR="00F554C2">
        <w:rPr>
          <w:b/>
          <w:sz w:val="28"/>
          <w:lang w:val="en-GB"/>
        </w:rPr>
        <w:t>by Member States</w:t>
      </w:r>
      <w:r w:rsidRPr="00D66392">
        <w:rPr>
          <w:b/>
          <w:sz w:val="28"/>
          <w:lang w:val="en-GB"/>
        </w:rPr>
        <w:t xml:space="preserve"> </w:t>
      </w:r>
    </w:p>
    <w:p w:rsidR="008D22F1" w:rsidRPr="003F36E2" w:rsidRDefault="008D22F1" w:rsidP="008D22F1">
      <w:pPr>
        <w:rPr>
          <w:b/>
          <w:sz w:val="28"/>
        </w:rPr>
      </w:pPr>
    </w:p>
    <w:tbl>
      <w:tblPr>
        <w:tblStyle w:val="Tabellenraster"/>
        <w:tblW w:w="0" w:type="auto"/>
        <w:tblLook w:val="04A0" w:firstRow="1" w:lastRow="0" w:firstColumn="1" w:lastColumn="0" w:noHBand="0" w:noVBand="1"/>
      </w:tblPr>
      <w:tblGrid>
        <w:gridCol w:w="1934"/>
        <w:gridCol w:w="3306"/>
        <w:gridCol w:w="3686"/>
        <w:gridCol w:w="3686"/>
      </w:tblGrid>
      <w:tr w:rsidR="00D66392" w:rsidTr="00804B0B">
        <w:tc>
          <w:tcPr>
            <w:tcW w:w="1934" w:type="dxa"/>
            <w:shd w:val="clear" w:color="auto" w:fill="E7E6E6" w:themeFill="background2"/>
          </w:tcPr>
          <w:p w:rsidR="00D66392" w:rsidRPr="00C943AD" w:rsidRDefault="00D66392" w:rsidP="00D66392">
            <w:pPr>
              <w:rPr>
                <w:b/>
                <w:color w:val="2A2A25"/>
                <w:lang w:val="en-US" w:eastAsia="it-IT"/>
              </w:rPr>
            </w:pPr>
          </w:p>
        </w:tc>
        <w:tc>
          <w:tcPr>
            <w:tcW w:w="3306" w:type="dxa"/>
            <w:shd w:val="clear" w:color="auto" w:fill="E7E6E6" w:themeFill="background2"/>
          </w:tcPr>
          <w:p w:rsidR="00D66392" w:rsidRDefault="00D66392" w:rsidP="00D66392">
            <w:pPr>
              <w:rPr>
                <w:b/>
                <w:color w:val="2A2A25"/>
                <w:lang w:val="en-US" w:eastAsia="it-IT"/>
              </w:rPr>
            </w:pPr>
            <w:r w:rsidRPr="00C943AD">
              <w:rPr>
                <w:b/>
                <w:color w:val="2A2A25"/>
                <w:lang w:val="en-US" w:eastAsia="it-IT"/>
              </w:rPr>
              <w:t>Scenario 2</w:t>
            </w:r>
            <w:r>
              <w:rPr>
                <w:b/>
                <w:color w:val="2A2A25"/>
                <w:lang w:val="en-US" w:eastAsia="it-IT"/>
              </w:rPr>
              <w:t xml:space="preserve"> </w:t>
            </w:r>
          </w:p>
          <w:p w:rsidR="00D66392" w:rsidRPr="00C943AD" w:rsidRDefault="000E2942" w:rsidP="00D66392">
            <w:pPr>
              <w:rPr>
                <w:b/>
                <w:color w:val="2A2A25"/>
                <w:lang w:val="en-US" w:eastAsia="it-IT"/>
              </w:rPr>
            </w:pPr>
            <w:r>
              <w:rPr>
                <w:b/>
                <w:color w:val="2A2A25"/>
                <w:lang w:val="en-US" w:eastAsia="it-IT"/>
              </w:rPr>
              <w:t>M</w:t>
            </w:r>
            <w:r w:rsidR="00D66392">
              <w:rPr>
                <w:b/>
                <w:color w:val="2A2A25"/>
                <w:lang w:val="en-US" w:eastAsia="it-IT"/>
              </w:rPr>
              <w:t>easures</w:t>
            </w:r>
            <w:r>
              <w:rPr>
                <w:b/>
                <w:color w:val="2A2A25"/>
                <w:lang w:val="en-US" w:eastAsia="it-IT"/>
              </w:rPr>
              <w:t xml:space="preserve"> options</w:t>
            </w:r>
          </w:p>
        </w:tc>
        <w:tc>
          <w:tcPr>
            <w:tcW w:w="3686" w:type="dxa"/>
            <w:shd w:val="clear" w:color="auto" w:fill="E7E6E6" w:themeFill="background2"/>
          </w:tcPr>
          <w:p w:rsidR="00D66392" w:rsidRDefault="00D66392" w:rsidP="00D66392">
            <w:pPr>
              <w:rPr>
                <w:b/>
              </w:rPr>
            </w:pPr>
            <w:r w:rsidRPr="00C943AD">
              <w:rPr>
                <w:b/>
              </w:rPr>
              <w:t>Scenario 3</w:t>
            </w:r>
          </w:p>
          <w:p w:rsidR="00D66392" w:rsidRPr="00C943AD" w:rsidRDefault="000E2942" w:rsidP="00D66392">
            <w:pPr>
              <w:rPr>
                <w:b/>
              </w:rPr>
            </w:pPr>
            <w:r>
              <w:rPr>
                <w:b/>
              </w:rPr>
              <w:t>Measures option</w:t>
            </w:r>
          </w:p>
        </w:tc>
        <w:tc>
          <w:tcPr>
            <w:tcW w:w="3686" w:type="dxa"/>
            <w:shd w:val="clear" w:color="auto" w:fill="E7E6E6" w:themeFill="background2"/>
          </w:tcPr>
          <w:p w:rsidR="00D66392" w:rsidRDefault="000E2942" w:rsidP="00D66392">
            <w:pPr>
              <w:rPr>
                <w:b/>
              </w:rPr>
            </w:pPr>
            <w:r>
              <w:rPr>
                <w:b/>
              </w:rPr>
              <w:t>Scenario 4</w:t>
            </w:r>
          </w:p>
          <w:p w:rsidR="00D66392" w:rsidRPr="00C943AD" w:rsidRDefault="000E2942" w:rsidP="00D66392">
            <w:pPr>
              <w:rPr>
                <w:b/>
              </w:rPr>
            </w:pPr>
            <w:r>
              <w:rPr>
                <w:b/>
              </w:rPr>
              <w:t>Measures option</w:t>
            </w:r>
          </w:p>
        </w:tc>
      </w:tr>
      <w:tr w:rsidR="00D66392" w:rsidRPr="00D66392" w:rsidTr="00804B0B">
        <w:tc>
          <w:tcPr>
            <w:tcW w:w="1934" w:type="dxa"/>
            <w:vMerge w:val="restart"/>
            <w:shd w:val="clear" w:color="auto" w:fill="E7E6E6" w:themeFill="background2"/>
          </w:tcPr>
          <w:p w:rsidR="00D66392" w:rsidRDefault="00D66392" w:rsidP="00D66392">
            <w:pPr>
              <w:rPr>
                <w:b/>
                <w:color w:val="2A2A25"/>
                <w:lang w:val="en-US" w:eastAsia="it-IT"/>
              </w:rPr>
            </w:pPr>
            <w:r w:rsidRPr="00C943AD">
              <w:rPr>
                <w:b/>
                <w:color w:val="2A2A25"/>
                <w:lang w:val="en-US" w:eastAsia="it-IT"/>
              </w:rPr>
              <w:t>Mass gatherings</w:t>
            </w:r>
            <w:r>
              <w:rPr>
                <w:rStyle w:val="Funotenzeichen"/>
                <w:b/>
                <w:color w:val="2A2A25"/>
                <w:lang w:val="en-US" w:eastAsia="it-IT"/>
              </w:rPr>
              <w:footnoteReference w:id="2"/>
            </w:r>
          </w:p>
          <w:p w:rsidR="00D66392" w:rsidRPr="00C943AD" w:rsidRDefault="00D66392" w:rsidP="00D66392">
            <w:pPr>
              <w:rPr>
                <w:b/>
              </w:rPr>
            </w:pPr>
          </w:p>
        </w:tc>
        <w:tc>
          <w:tcPr>
            <w:tcW w:w="3306" w:type="dxa"/>
          </w:tcPr>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 xml:space="preserve">Mass gatherings above or equal to 1000 participants, including, but not limited to, conferences, demonstrations, meetings, sport events, cultural and social events in public and private spaces, strongly recommended to be cancelled. </w:t>
            </w:r>
          </w:p>
          <w:p w:rsidR="00D66392" w:rsidRPr="00636229" w:rsidRDefault="00D66392" w:rsidP="00D66392">
            <w:pPr>
              <w:pStyle w:val="Listenabsatz"/>
              <w:numPr>
                <w:ilvl w:val="0"/>
                <w:numId w:val="2"/>
              </w:numPr>
              <w:ind w:left="169" w:hanging="141"/>
              <w:rPr>
                <w:color w:val="2A2A25"/>
                <w:lang w:val="en-US" w:eastAsia="it-IT"/>
              </w:rPr>
            </w:pPr>
            <w:r w:rsidRPr="00D50EC7">
              <w:rPr>
                <w:color w:val="2A2A25"/>
                <w:highlight w:val="green"/>
                <w:lang w:val="en-US" w:eastAsia="it-IT"/>
              </w:rPr>
              <w:t>Option: Sport events to be held without spectators, if in excess of 1000 participants.</w:t>
            </w:r>
          </w:p>
        </w:tc>
        <w:tc>
          <w:tcPr>
            <w:tcW w:w="3686" w:type="dxa"/>
          </w:tcPr>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Mass gatherings, regardless of size, including conferences, demonstrations, meetings, sport events, cultural and social events in public and private spaces to be cancelled.</w:t>
            </w:r>
          </w:p>
          <w:p w:rsidR="00D66392" w:rsidRPr="003C0E78" w:rsidRDefault="00D66392" w:rsidP="00D66392">
            <w:pPr>
              <w:ind w:left="28"/>
              <w:rPr>
                <w:color w:val="2A2A25"/>
                <w:lang w:val="en-US" w:eastAsia="it-IT"/>
              </w:rPr>
            </w:pPr>
          </w:p>
        </w:tc>
        <w:tc>
          <w:tcPr>
            <w:tcW w:w="3686" w:type="dxa"/>
          </w:tcPr>
          <w:p w:rsidR="00D66392" w:rsidRDefault="00D66392" w:rsidP="00D66392">
            <w:pPr>
              <w:pStyle w:val="Listenabsatz"/>
              <w:numPr>
                <w:ilvl w:val="0"/>
                <w:numId w:val="2"/>
              </w:numPr>
              <w:ind w:left="169" w:hanging="141"/>
              <w:rPr>
                <w:color w:val="2A2A25"/>
                <w:lang w:val="en-US" w:eastAsia="it-IT"/>
              </w:rPr>
            </w:pPr>
            <w:r w:rsidRPr="00D50EC7">
              <w:rPr>
                <w:color w:val="2A2A25"/>
                <w:highlight w:val="green"/>
                <w:lang w:val="en-US" w:eastAsia="it-IT"/>
              </w:rPr>
              <w:t>Mass gatherings should be cancelled.</w:t>
            </w:r>
            <w:r>
              <w:rPr>
                <w:color w:val="2A2A25"/>
                <w:lang w:val="en-US" w:eastAsia="it-IT"/>
              </w:rPr>
              <w:t xml:space="preserve"> </w:t>
            </w:r>
          </w:p>
        </w:tc>
      </w:tr>
      <w:tr w:rsidR="00D66392" w:rsidTr="00804B0B">
        <w:trPr>
          <w:trHeight w:val="575"/>
        </w:trPr>
        <w:tc>
          <w:tcPr>
            <w:tcW w:w="1934" w:type="dxa"/>
            <w:vMerge/>
            <w:shd w:val="clear" w:color="auto" w:fill="E7E6E6" w:themeFill="background2"/>
          </w:tcPr>
          <w:p w:rsidR="00D66392" w:rsidRPr="00C943AD" w:rsidRDefault="00D66392" w:rsidP="00D66392">
            <w:pPr>
              <w:rPr>
                <w:b/>
              </w:rPr>
            </w:pPr>
          </w:p>
        </w:tc>
        <w:tc>
          <w:tcPr>
            <w:tcW w:w="3306" w:type="dxa"/>
          </w:tcPr>
          <w:p w:rsidR="00D66392" w:rsidRPr="003C0E78" w:rsidRDefault="00D66392" w:rsidP="00D66392">
            <w:pPr>
              <w:pStyle w:val="Listenabsatz"/>
              <w:numPr>
                <w:ilvl w:val="0"/>
                <w:numId w:val="2"/>
              </w:numPr>
              <w:ind w:left="169" w:hanging="141"/>
              <w:rPr>
                <w:color w:val="2A2A25"/>
                <w:lang w:val="en-US" w:eastAsia="it-IT"/>
              </w:rPr>
            </w:pPr>
            <w:r w:rsidRPr="00D50EC7">
              <w:rPr>
                <w:color w:val="2A2A25"/>
                <w:highlight w:val="green"/>
                <w:lang w:val="en-US" w:eastAsia="it-IT"/>
              </w:rPr>
              <w:t>Below 1000 participants, the individual organizer must assess the risk involved in the organization of the meeting, coordinated with public health and other relevant national authorities.</w:t>
            </w:r>
            <w:r>
              <w:rPr>
                <w:color w:val="2A2A25"/>
                <w:lang w:val="en-US" w:eastAsia="it-IT"/>
              </w:rPr>
              <w:t xml:space="preserve"> </w:t>
            </w:r>
          </w:p>
        </w:tc>
        <w:tc>
          <w:tcPr>
            <w:tcW w:w="3686" w:type="dxa"/>
          </w:tcPr>
          <w:p w:rsidR="00D66392" w:rsidRDefault="00D66392" w:rsidP="00D66392">
            <w:r>
              <w:rPr>
                <w:color w:val="2A2A25"/>
                <w:lang w:val="en-US" w:eastAsia="it-IT"/>
              </w:rPr>
              <w:t xml:space="preserve">- </w:t>
            </w:r>
            <w:r w:rsidRPr="00D50EC7">
              <w:rPr>
                <w:color w:val="2A2A25"/>
                <w:highlight w:val="green"/>
                <w:lang w:val="en-US" w:eastAsia="it-IT"/>
              </w:rPr>
              <w:t>Essential mass gatherings recommended to be conducted via video conferencing.</w:t>
            </w:r>
          </w:p>
        </w:tc>
        <w:tc>
          <w:tcPr>
            <w:tcW w:w="3686" w:type="dxa"/>
          </w:tcPr>
          <w:p w:rsidR="00D66392" w:rsidRPr="00A41C1E" w:rsidRDefault="00D66392" w:rsidP="00D66392">
            <w:pPr>
              <w:rPr>
                <w:color w:val="2A2A25"/>
                <w:lang w:eastAsia="it-IT"/>
              </w:rPr>
            </w:pPr>
          </w:p>
        </w:tc>
      </w:tr>
      <w:tr w:rsidR="00D66392" w:rsidTr="00804B0B">
        <w:trPr>
          <w:trHeight w:val="575"/>
        </w:trPr>
        <w:tc>
          <w:tcPr>
            <w:tcW w:w="1934" w:type="dxa"/>
            <w:vMerge/>
            <w:shd w:val="clear" w:color="auto" w:fill="E7E6E6" w:themeFill="background2"/>
          </w:tcPr>
          <w:p w:rsidR="00D66392" w:rsidRPr="00C943AD" w:rsidRDefault="00D66392" w:rsidP="00D66392">
            <w:pPr>
              <w:rPr>
                <w:b/>
              </w:rPr>
            </w:pPr>
          </w:p>
        </w:tc>
        <w:tc>
          <w:tcPr>
            <w:tcW w:w="3306" w:type="dxa"/>
          </w:tcPr>
          <w:p w:rsidR="00D66392" w:rsidRDefault="00D66392" w:rsidP="00D66392">
            <w:pPr>
              <w:pStyle w:val="Listenabsatz"/>
              <w:numPr>
                <w:ilvl w:val="0"/>
                <w:numId w:val="2"/>
              </w:numPr>
              <w:ind w:left="169" w:hanging="141"/>
              <w:rPr>
                <w:color w:val="2A2A25"/>
                <w:lang w:val="en-US" w:eastAsia="it-IT"/>
              </w:rPr>
            </w:pPr>
            <w:r w:rsidRPr="00D50EC7">
              <w:rPr>
                <w:color w:val="2A2A25"/>
                <w:highlight w:val="green"/>
                <w:lang w:val="en-US" w:eastAsia="it-IT"/>
              </w:rPr>
              <w:t xml:space="preserve">Cancellation of all congresses, seminars, conferences or </w:t>
            </w:r>
            <w:r w:rsidRPr="00D50EC7">
              <w:rPr>
                <w:color w:val="2A2A25"/>
                <w:highlight w:val="green"/>
                <w:lang w:val="en-US" w:eastAsia="it-IT"/>
              </w:rPr>
              <w:lastRenderedPageBreak/>
              <w:t>courses where health professionals participate.</w:t>
            </w:r>
          </w:p>
        </w:tc>
        <w:tc>
          <w:tcPr>
            <w:tcW w:w="3686" w:type="dxa"/>
          </w:tcPr>
          <w:p w:rsidR="00D66392" w:rsidRPr="003C0E78" w:rsidRDefault="00D66392" w:rsidP="00D66392">
            <w:pPr>
              <w:ind w:left="28"/>
              <w:rPr>
                <w:color w:val="2A2A25"/>
                <w:lang w:val="en-US" w:eastAsia="it-IT"/>
              </w:rPr>
            </w:pPr>
          </w:p>
        </w:tc>
        <w:tc>
          <w:tcPr>
            <w:tcW w:w="3686" w:type="dxa"/>
          </w:tcPr>
          <w:p w:rsidR="00D66392" w:rsidRPr="003C0E78" w:rsidRDefault="00D66392" w:rsidP="00D66392">
            <w:pPr>
              <w:ind w:left="28"/>
              <w:rPr>
                <w:color w:val="2A2A25"/>
                <w:lang w:val="en-US" w:eastAsia="it-IT"/>
              </w:rPr>
            </w:pPr>
          </w:p>
        </w:tc>
      </w:tr>
      <w:tr w:rsidR="00D66392" w:rsidTr="00804B0B">
        <w:trPr>
          <w:trHeight w:val="338"/>
        </w:trPr>
        <w:tc>
          <w:tcPr>
            <w:tcW w:w="1934" w:type="dxa"/>
            <w:vMerge/>
            <w:shd w:val="clear" w:color="auto" w:fill="E7E6E6" w:themeFill="background2"/>
          </w:tcPr>
          <w:p w:rsidR="00D66392" w:rsidRPr="00C943AD" w:rsidRDefault="00D66392" w:rsidP="00D66392">
            <w:pPr>
              <w:rPr>
                <w:b/>
              </w:rPr>
            </w:pPr>
          </w:p>
        </w:tc>
        <w:tc>
          <w:tcPr>
            <w:tcW w:w="3306" w:type="dxa"/>
          </w:tcPr>
          <w:p w:rsidR="00D66392" w:rsidRPr="00D50EC7" w:rsidRDefault="00D66392" w:rsidP="00D66392">
            <w:pPr>
              <w:rPr>
                <w:color w:val="2A2A25"/>
                <w:highlight w:val="green"/>
                <w:lang w:val="en-US" w:eastAsia="it-IT"/>
              </w:rPr>
            </w:pPr>
            <w:r w:rsidRPr="00D50EC7">
              <w:rPr>
                <w:color w:val="2A2A25"/>
                <w:highlight w:val="green"/>
                <w:lang w:val="en-US" w:eastAsia="it-IT"/>
              </w:rPr>
              <w:t xml:space="preserve">Strongly recommended </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to avoid mass gatherings in confined interior space</w:t>
            </w:r>
            <w:r w:rsidRPr="00D50EC7">
              <w:rPr>
                <w:color w:val="2A2A25"/>
                <w:highlight w:val="green"/>
                <w:lang w:val="en-GB" w:eastAsia="it-IT"/>
              </w:rPr>
              <w:t xml:space="preserve"> </w:t>
            </w:r>
          </w:p>
          <w:p w:rsidR="00D66392" w:rsidRPr="00D50EC7" w:rsidRDefault="00D66392" w:rsidP="00D66392">
            <w:pPr>
              <w:pStyle w:val="Listenabsatz"/>
              <w:numPr>
                <w:ilvl w:val="0"/>
                <w:numId w:val="2"/>
              </w:numPr>
              <w:ind w:left="169" w:hanging="141"/>
              <w:rPr>
                <w:color w:val="2A2A25"/>
                <w:highlight w:val="green"/>
                <w:lang w:val="en-US" w:eastAsia="it-IT"/>
              </w:rPr>
            </w:pPr>
            <w:proofErr w:type="gramStart"/>
            <w:r w:rsidRPr="00D50EC7">
              <w:rPr>
                <w:color w:val="2A2A25"/>
                <w:highlight w:val="green"/>
                <w:lang w:val="en-GB" w:eastAsia="it-IT"/>
              </w:rPr>
              <w:t>to</w:t>
            </w:r>
            <w:proofErr w:type="gramEnd"/>
            <w:r w:rsidRPr="00D50EC7">
              <w:rPr>
                <w:color w:val="2A2A25"/>
                <w:highlight w:val="green"/>
                <w:lang w:val="en-GB" w:eastAsia="it-IT"/>
              </w:rPr>
              <w:t xml:space="preserve"> hold </w:t>
            </w:r>
            <w:r w:rsidRPr="00D50EC7">
              <w:rPr>
                <w:color w:val="2A2A25"/>
                <w:highlight w:val="green"/>
                <w:lang w:val="en-US" w:eastAsia="it-IT"/>
              </w:rPr>
              <w:t xml:space="preserve">essential mass gatherings, where possible, in open spaces. </w:t>
            </w:r>
          </w:p>
          <w:p w:rsidR="00D66392" w:rsidRPr="003C0E78" w:rsidRDefault="00D66392" w:rsidP="00D66392">
            <w:pPr>
              <w:pStyle w:val="Listenabsatz"/>
              <w:numPr>
                <w:ilvl w:val="0"/>
                <w:numId w:val="2"/>
              </w:numPr>
              <w:ind w:left="169" w:hanging="141"/>
              <w:rPr>
                <w:color w:val="2A2A25"/>
                <w:lang w:val="en-US" w:eastAsia="it-IT"/>
              </w:rPr>
            </w:pPr>
            <w:proofErr w:type="gramStart"/>
            <w:r w:rsidRPr="00D50EC7">
              <w:rPr>
                <w:color w:val="2A2A25"/>
                <w:highlight w:val="green"/>
                <w:lang w:val="en-US" w:eastAsia="it-IT"/>
              </w:rPr>
              <w:t>to</w:t>
            </w:r>
            <w:proofErr w:type="gramEnd"/>
            <w:r w:rsidRPr="00D50EC7">
              <w:rPr>
                <w:color w:val="2A2A25"/>
                <w:highlight w:val="green"/>
                <w:lang w:val="en-US" w:eastAsia="it-IT"/>
              </w:rPr>
              <w:t xml:space="preserve"> cancel non-essential meetings.</w:t>
            </w:r>
          </w:p>
        </w:tc>
        <w:tc>
          <w:tcPr>
            <w:tcW w:w="3686" w:type="dxa"/>
          </w:tcPr>
          <w:p w:rsidR="00D66392" w:rsidRPr="003C0E78" w:rsidRDefault="00D66392" w:rsidP="00D66392">
            <w:pPr>
              <w:ind w:left="28"/>
              <w:rPr>
                <w:color w:val="2A2A25"/>
                <w:lang w:val="en-US" w:eastAsia="it-IT"/>
              </w:rPr>
            </w:pPr>
          </w:p>
        </w:tc>
        <w:tc>
          <w:tcPr>
            <w:tcW w:w="3686" w:type="dxa"/>
          </w:tcPr>
          <w:p w:rsidR="00D66392" w:rsidRPr="003C0E78" w:rsidRDefault="00D66392" w:rsidP="00D66392">
            <w:pPr>
              <w:ind w:left="28"/>
              <w:rPr>
                <w:color w:val="2A2A25"/>
                <w:lang w:val="en-US" w:eastAsia="it-IT"/>
              </w:rPr>
            </w:pPr>
          </w:p>
        </w:tc>
      </w:tr>
      <w:tr w:rsidR="00D66392" w:rsidTr="00804B0B">
        <w:trPr>
          <w:trHeight w:val="254"/>
        </w:trPr>
        <w:tc>
          <w:tcPr>
            <w:tcW w:w="1934" w:type="dxa"/>
            <w:vMerge/>
            <w:shd w:val="clear" w:color="auto" w:fill="E7E6E6" w:themeFill="background2"/>
          </w:tcPr>
          <w:p w:rsidR="00D66392" w:rsidRPr="00C943AD" w:rsidRDefault="00D66392" w:rsidP="00D66392">
            <w:pPr>
              <w:rPr>
                <w:b/>
              </w:rPr>
            </w:pPr>
          </w:p>
        </w:tc>
        <w:tc>
          <w:tcPr>
            <w:tcW w:w="3306" w:type="dxa"/>
          </w:tcPr>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Special guidelines to support organizers in their assessment of risk (can be produced by the ECDC).</w:t>
            </w:r>
          </w:p>
          <w:p w:rsidR="00D66392" w:rsidRPr="003C0E78" w:rsidRDefault="00D66392" w:rsidP="00D66392">
            <w:pPr>
              <w:pStyle w:val="Listenabsatz"/>
              <w:numPr>
                <w:ilvl w:val="0"/>
                <w:numId w:val="2"/>
              </w:numPr>
              <w:ind w:left="169" w:hanging="141"/>
              <w:rPr>
                <w:color w:val="2A2A25"/>
                <w:lang w:val="en-US" w:eastAsia="it-IT"/>
              </w:rPr>
            </w:pPr>
            <w:r w:rsidRPr="00D50EC7">
              <w:rPr>
                <w:color w:val="2A2A25"/>
                <w:highlight w:val="green"/>
                <w:lang w:val="en-US" w:eastAsia="it-IT"/>
              </w:rPr>
              <w:t xml:space="preserve">All gatherings to ensure </w:t>
            </w:r>
            <w:r w:rsidRPr="00D50EC7">
              <w:rPr>
                <w:highlight w:val="green"/>
                <w:lang w:val="en-IE"/>
              </w:rPr>
              <w:t>handwashing facilities, cleaning before and after and low risk ventilation.</w:t>
            </w:r>
          </w:p>
        </w:tc>
        <w:tc>
          <w:tcPr>
            <w:tcW w:w="3686" w:type="dxa"/>
          </w:tcPr>
          <w:p w:rsidR="00D66392" w:rsidRDefault="00D66392" w:rsidP="00D66392">
            <w:pPr>
              <w:rPr>
                <w:color w:val="2A2A25"/>
                <w:lang w:val="en-US" w:eastAsia="it-IT"/>
              </w:rPr>
            </w:pPr>
            <w:r>
              <w:rPr>
                <w:color w:val="2A2A25"/>
                <w:lang w:val="en-US" w:eastAsia="it-IT"/>
              </w:rPr>
              <w:t xml:space="preserve">- </w:t>
            </w:r>
            <w:r w:rsidRPr="00D50EC7">
              <w:rPr>
                <w:color w:val="2A2A25"/>
                <w:highlight w:val="green"/>
                <w:lang w:val="en-US" w:eastAsia="it-IT"/>
              </w:rPr>
              <w:t xml:space="preserve">All gatherings to ensure </w:t>
            </w:r>
            <w:r w:rsidRPr="00D50EC7">
              <w:rPr>
                <w:highlight w:val="green"/>
                <w:lang w:val="en-IE"/>
              </w:rPr>
              <w:t>handwashing facilities, cleaning before and after and low risk ventila</w:t>
            </w:r>
            <w:bookmarkStart w:id="0" w:name="_GoBack"/>
            <w:bookmarkEnd w:id="0"/>
            <w:r w:rsidRPr="00D50EC7">
              <w:rPr>
                <w:highlight w:val="green"/>
                <w:lang w:val="en-IE"/>
              </w:rPr>
              <w:t>tion</w:t>
            </w:r>
            <w:r>
              <w:rPr>
                <w:lang w:val="en-IE"/>
              </w:rPr>
              <w:t>.</w:t>
            </w:r>
          </w:p>
        </w:tc>
        <w:tc>
          <w:tcPr>
            <w:tcW w:w="3686" w:type="dxa"/>
          </w:tcPr>
          <w:p w:rsidR="00D66392" w:rsidRDefault="00D66392" w:rsidP="00D66392">
            <w:pPr>
              <w:rPr>
                <w:color w:val="2A2A25"/>
                <w:lang w:val="en-US" w:eastAsia="it-IT"/>
              </w:rPr>
            </w:pPr>
          </w:p>
        </w:tc>
      </w:tr>
      <w:tr w:rsidR="00D66392" w:rsidRPr="00D66392" w:rsidTr="00804B0B">
        <w:tc>
          <w:tcPr>
            <w:tcW w:w="1934" w:type="dxa"/>
            <w:vMerge w:val="restart"/>
            <w:shd w:val="clear" w:color="auto" w:fill="E7E6E6" w:themeFill="background2"/>
          </w:tcPr>
          <w:p w:rsidR="00D66392" w:rsidRPr="00C943AD" w:rsidRDefault="00D66392" w:rsidP="00D66392">
            <w:pPr>
              <w:rPr>
                <w:b/>
              </w:rPr>
            </w:pPr>
            <w:r w:rsidRPr="00C943AD">
              <w:rPr>
                <w:b/>
              </w:rPr>
              <w:t>Public spaces</w:t>
            </w:r>
          </w:p>
        </w:tc>
        <w:tc>
          <w:tcPr>
            <w:tcW w:w="3306" w:type="dxa"/>
          </w:tcPr>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Communal sport activities held in in gyms, swimming pools and/or sport centers can remain open if inferior to 1000 participants.</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Communal sport activity centers should be immediately suspended in case of infection and reopened after environmental cleaning.</w:t>
            </w:r>
          </w:p>
          <w:p w:rsidR="00D66392" w:rsidRPr="00636229" w:rsidRDefault="00D66392" w:rsidP="00D66392">
            <w:pPr>
              <w:ind w:left="28"/>
              <w:rPr>
                <w:color w:val="2A2A25"/>
                <w:lang w:val="en-US" w:eastAsia="it-IT"/>
              </w:rPr>
            </w:pPr>
          </w:p>
        </w:tc>
        <w:tc>
          <w:tcPr>
            <w:tcW w:w="3686" w:type="dxa"/>
          </w:tcPr>
          <w:p w:rsidR="00D66392" w:rsidRPr="00D55BAF" w:rsidRDefault="00D66392" w:rsidP="00D66392">
            <w:pPr>
              <w:pStyle w:val="Listenabsatz"/>
              <w:numPr>
                <w:ilvl w:val="0"/>
                <w:numId w:val="2"/>
              </w:numPr>
              <w:ind w:left="169" w:hanging="141"/>
              <w:rPr>
                <w:highlight w:val="red"/>
                <w:lang w:val="en-GB"/>
              </w:rPr>
            </w:pPr>
            <w:r w:rsidRPr="00D55BAF">
              <w:rPr>
                <w:color w:val="2A2A25"/>
                <w:highlight w:val="red"/>
                <w:lang w:val="en-US" w:eastAsia="it-IT"/>
              </w:rPr>
              <w:t>All public spaces are recommended to close. If necessary to open, only if social distance can be guaranteed and below 1000 participants</w:t>
            </w:r>
          </w:p>
          <w:p w:rsidR="00D66392" w:rsidRPr="00D55BAF" w:rsidRDefault="00D66392" w:rsidP="00D66392">
            <w:pPr>
              <w:pStyle w:val="Listenabsatz"/>
              <w:numPr>
                <w:ilvl w:val="0"/>
                <w:numId w:val="2"/>
              </w:numPr>
              <w:ind w:left="169" w:hanging="141"/>
              <w:rPr>
                <w:highlight w:val="red"/>
                <w:lang w:val="en-IE"/>
              </w:rPr>
            </w:pPr>
            <w:r w:rsidRPr="00D55BAF">
              <w:rPr>
                <w:color w:val="2A2A25"/>
                <w:highlight w:val="red"/>
                <w:lang w:val="en-US" w:eastAsia="it-IT"/>
              </w:rPr>
              <w:t>Communal sport activity centers recommended to close if cannot ensure necessary social distance and below 1000 participants.</w:t>
            </w:r>
          </w:p>
          <w:p w:rsidR="00D66392" w:rsidRPr="00E218B6" w:rsidRDefault="00D66392" w:rsidP="00D66392">
            <w:pPr>
              <w:pStyle w:val="Listenabsatz"/>
              <w:numPr>
                <w:ilvl w:val="0"/>
                <w:numId w:val="2"/>
              </w:numPr>
              <w:ind w:left="169" w:hanging="141"/>
              <w:rPr>
                <w:lang w:val="en-IE"/>
              </w:rPr>
            </w:pPr>
            <w:r w:rsidRPr="00D55BAF">
              <w:rPr>
                <w:color w:val="2A2A25"/>
                <w:highlight w:val="red"/>
                <w:lang w:val="en-US" w:eastAsia="it-IT"/>
              </w:rPr>
              <w:t>Communal sport activity centers should be immediately suspended in case of infection and reopened after environmental cleanin</w:t>
            </w:r>
            <w:r>
              <w:rPr>
                <w:color w:val="2A2A25"/>
                <w:lang w:val="en-US" w:eastAsia="it-IT"/>
              </w:rPr>
              <w:t>g.</w:t>
            </w:r>
          </w:p>
        </w:tc>
        <w:tc>
          <w:tcPr>
            <w:tcW w:w="3686" w:type="dxa"/>
          </w:tcPr>
          <w:p w:rsidR="00D66392" w:rsidRPr="00D50EC7" w:rsidRDefault="00D66392" w:rsidP="00D66392">
            <w:pPr>
              <w:ind w:left="28"/>
              <w:rPr>
                <w:color w:val="2A2A25"/>
                <w:highlight w:val="green"/>
                <w:lang w:val="en-US" w:eastAsia="it-IT"/>
              </w:rPr>
            </w:pPr>
            <w:r>
              <w:rPr>
                <w:color w:val="2A2A25"/>
                <w:lang w:val="en-IE" w:eastAsia="it-IT"/>
              </w:rPr>
              <w:t xml:space="preserve">- </w:t>
            </w:r>
            <w:r w:rsidRPr="00D50EC7">
              <w:rPr>
                <w:color w:val="2A2A25"/>
                <w:highlight w:val="green"/>
                <w:lang w:val="en-IE" w:eastAsia="it-IT"/>
              </w:rPr>
              <w:t>Closure</w:t>
            </w:r>
            <w:r w:rsidRPr="00D50EC7">
              <w:rPr>
                <w:color w:val="2A2A25"/>
                <w:highlight w:val="green"/>
                <w:lang w:val="en-US" w:eastAsia="it-IT"/>
              </w:rPr>
              <w:t xml:space="preserve"> of public spaces including museums to the public, </w:t>
            </w:r>
            <w:r w:rsidR="00F554C2" w:rsidRPr="00D50EC7">
              <w:rPr>
                <w:color w:val="2A2A25"/>
                <w:highlight w:val="green"/>
                <w:lang w:val="en-US" w:eastAsia="it-IT"/>
              </w:rPr>
              <w:t>activities of public offices (consideration on the p</w:t>
            </w:r>
            <w:r w:rsidRPr="00D50EC7">
              <w:rPr>
                <w:color w:val="2A2A25"/>
                <w:highlight w:val="green"/>
                <w:lang w:val="en-US" w:eastAsia="it-IT"/>
              </w:rPr>
              <w:t>rovision of essential services</w:t>
            </w:r>
            <w:r w:rsidR="00F554C2" w:rsidRPr="00D50EC7">
              <w:rPr>
                <w:color w:val="2A2A25"/>
                <w:highlight w:val="green"/>
                <w:lang w:val="en-US" w:eastAsia="it-IT"/>
              </w:rPr>
              <w:t>)</w:t>
            </w:r>
            <w:r w:rsidRPr="00D50EC7">
              <w:rPr>
                <w:color w:val="2A2A25"/>
                <w:highlight w:val="green"/>
                <w:lang w:val="en-US" w:eastAsia="it-IT"/>
              </w:rPr>
              <w:t xml:space="preserve">;  </w:t>
            </w:r>
          </w:p>
          <w:p w:rsidR="000E2942" w:rsidRPr="00D55BAF" w:rsidRDefault="000E2942" w:rsidP="000E2942">
            <w:pPr>
              <w:ind w:left="28"/>
              <w:rPr>
                <w:color w:val="2A2A25"/>
                <w:highlight w:val="red"/>
                <w:lang w:val="en-US" w:eastAsia="it-IT"/>
              </w:rPr>
            </w:pPr>
            <w:r w:rsidRPr="00D50EC7">
              <w:rPr>
                <w:color w:val="2A2A25"/>
                <w:highlight w:val="green"/>
                <w:lang w:val="en-US" w:eastAsia="it-IT"/>
              </w:rPr>
              <w:t xml:space="preserve">- </w:t>
            </w:r>
            <w:r w:rsidRPr="00D55BAF">
              <w:rPr>
                <w:color w:val="2A2A25"/>
                <w:highlight w:val="red"/>
                <w:lang w:val="en-US" w:eastAsia="it-IT"/>
              </w:rPr>
              <w:t xml:space="preserve">Closure of theatres, cinemas, restaurants, bars; </w:t>
            </w:r>
          </w:p>
          <w:p w:rsidR="000E2942" w:rsidRPr="00D55BAF" w:rsidRDefault="00D66392" w:rsidP="00D66392">
            <w:pPr>
              <w:ind w:left="28"/>
              <w:rPr>
                <w:color w:val="2A2A25"/>
                <w:highlight w:val="red"/>
                <w:lang w:val="en-US" w:eastAsia="it-IT"/>
              </w:rPr>
            </w:pPr>
            <w:r w:rsidRPr="00D55BAF">
              <w:rPr>
                <w:color w:val="2A2A25"/>
                <w:highlight w:val="red"/>
                <w:lang w:val="en-US" w:eastAsia="it-IT"/>
              </w:rPr>
              <w:t xml:space="preserve">- Closure of commercial activities, except those of </w:t>
            </w:r>
            <w:r w:rsidR="00F554C2" w:rsidRPr="00D55BAF">
              <w:rPr>
                <w:color w:val="2A2A25"/>
                <w:highlight w:val="red"/>
                <w:lang w:val="en-US" w:eastAsia="it-IT"/>
              </w:rPr>
              <w:t>essential services</w:t>
            </w:r>
            <w:r w:rsidRPr="00D55BAF">
              <w:rPr>
                <w:color w:val="2A2A25"/>
                <w:highlight w:val="red"/>
                <w:lang w:val="en-US" w:eastAsia="it-IT"/>
              </w:rPr>
              <w:t>;</w:t>
            </w:r>
          </w:p>
          <w:p w:rsidR="00D66392" w:rsidRPr="00D66392" w:rsidRDefault="00D66392" w:rsidP="00D66392">
            <w:pPr>
              <w:ind w:left="28"/>
              <w:rPr>
                <w:color w:val="2A2A25"/>
                <w:lang w:val="en-US" w:eastAsia="it-IT"/>
              </w:rPr>
            </w:pPr>
            <w:r w:rsidRPr="00D55BAF">
              <w:rPr>
                <w:color w:val="2A2A25"/>
                <w:highlight w:val="red"/>
                <w:lang w:val="en-US" w:eastAsia="it-IT"/>
              </w:rPr>
              <w:t>- Obligation to access essential public services and shops for the purchase of basic necessities goods using p</w:t>
            </w:r>
            <w:r w:rsidR="00F554C2" w:rsidRPr="00D55BAF">
              <w:rPr>
                <w:color w:val="2A2A25"/>
                <w:highlight w:val="red"/>
                <w:lang w:val="en-US" w:eastAsia="it-IT"/>
              </w:rPr>
              <w:t>ersonal protective equipment.</w:t>
            </w:r>
          </w:p>
        </w:tc>
      </w:tr>
      <w:tr w:rsidR="00D66392" w:rsidRPr="00D66392" w:rsidTr="00804B0B">
        <w:tc>
          <w:tcPr>
            <w:tcW w:w="1934" w:type="dxa"/>
            <w:vMerge/>
            <w:shd w:val="clear" w:color="auto" w:fill="E7E6E6" w:themeFill="background2"/>
          </w:tcPr>
          <w:p w:rsidR="00D66392" w:rsidRPr="00C943AD" w:rsidRDefault="00D66392" w:rsidP="00D66392">
            <w:pPr>
              <w:rPr>
                <w:b/>
              </w:rPr>
            </w:pPr>
          </w:p>
        </w:tc>
        <w:tc>
          <w:tcPr>
            <w:tcW w:w="3306" w:type="dxa"/>
          </w:tcPr>
          <w:p w:rsidR="00D66392" w:rsidRPr="003C0E78" w:rsidRDefault="00D66392" w:rsidP="00D66392">
            <w:pPr>
              <w:pStyle w:val="Listenabsatz"/>
              <w:numPr>
                <w:ilvl w:val="0"/>
                <w:numId w:val="2"/>
              </w:numPr>
              <w:ind w:left="169" w:hanging="141"/>
              <w:rPr>
                <w:color w:val="2A2A25"/>
                <w:lang w:val="en-US" w:eastAsia="it-IT"/>
              </w:rPr>
            </w:pPr>
            <w:r w:rsidRPr="00D50EC7">
              <w:rPr>
                <w:color w:val="2A2A25"/>
                <w:highlight w:val="green"/>
                <w:lang w:val="en-US" w:eastAsia="it-IT"/>
              </w:rPr>
              <w:t>The operation of public transport is maintained</w:t>
            </w:r>
            <w:r>
              <w:rPr>
                <w:lang w:val="en-IE"/>
              </w:rPr>
              <w:t xml:space="preserve"> </w:t>
            </w:r>
          </w:p>
          <w:p w:rsidR="00D66392" w:rsidRPr="00D55BAF" w:rsidRDefault="00D66392" w:rsidP="00D66392">
            <w:pPr>
              <w:pStyle w:val="Listenabsatz"/>
              <w:numPr>
                <w:ilvl w:val="0"/>
                <w:numId w:val="2"/>
              </w:numPr>
              <w:ind w:left="169" w:hanging="141"/>
              <w:rPr>
                <w:color w:val="2A2A25"/>
                <w:highlight w:val="red"/>
                <w:lang w:val="en-US" w:eastAsia="it-IT"/>
              </w:rPr>
            </w:pPr>
            <w:r w:rsidRPr="00D55BAF">
              <w:rPr>
                <w:highlight w:val="red"/>
                <w:lang w:val="en-IE"/>
              </w:rPr>
              <w:t xml:space="preserve">Measures to decrease density of </w:t>
            </w:r>
            <w:r w:rsidRPr="00D55BAF">
              <w:rPr>
                <w:highlight w:val="red"/>
                <w:lang w:val="en-IE"/>
              </w:rPr>
              <w:lastRenderedPageBreak/>
              <w:t xml:space="preserve">passengers, and increased ventilation </w:t>
            </w:r>
            <w:proofErr w:type="spellStart"/>
            <w:r w:rsidRPr="00D55BAF">
              <w:rPr>
                <w:highlight w:val="red"/>
                <w:lang w:val="en-IE"/>
              </w:rPr>
              <w:t>onboard</w:t>
            </w:r>
            <w:proofErr w:type="spellEnd"/>
            <w:r w:rsidRPr="00D55BAF">
              <w:rPr>
                <w:highlight w:val="red"/>
                <w:lang w:val="en-IE"/>
              </w:rPr>
              <w:t xml:space="preserve"> conveyances.</w:t>
            </w:r>
          </w:p>
          <w:p w:rsidR="00D66392" w:rsidRPr="003C0E78" w:rsidRDefault="00D66392" w:rsidP="00D66392">
            <w:pPr>
              <w:ind w:left="28"/>
              <w:rPr>
                <w:color w:val="2A2A25"/>
                <w:lang w:val="en-US" w:eastAsia="it-IT"/>
              </w:rPr>
            </w:pPr>
          </w:p>
        </w:tc>
        <w:tc>
          <w:tcPr>
            <w:tcW w:w="3686" w:type="dxa"/>
          </w:tcPr>
          <w:p w:rsidR="00D66392" w:rsidRPr="00D55BAF" w:rsidRDefault="00D66392" w:rsidP="00D66392">
            <w:pPr>
              <w:pStyle w:val="Listenabsatz"/>
              <w:numPr>
                <w:ilvl w:val="0"/>
                <w:numId w:val="2"/>
              </w:numPr>
              <w:ind w:left="169" w:hanging="141"/>
              <w:rPr>
                <w:color w:val="2A2A25"/>
                <w:highlight w:val="red"/>
                <w:lang w:val="en-US" w:eastAsia="it-IT"/>
              </w:rPr>
            </w:pPr>
            <w:r w:rsidRPr="00D55BAF">
              <w:rPr>
                <w:color w:val="2A2A25"/>
                <w:highlight w:val="green"/>
                <w:lang w:val="en-US" w:eastAsia="it-IT"/>
              </w:rPr>
              <w:lastRenderedPageBreak/>
              <w:t>Essential public transport should be maintained</w:t>
            </w:r>
            <w:r>
              <w:rPr>
                <w:color w:val="2A2A25"/>
                <w:lang w:val="en-US" w:eastAsia="it-IT"/>
              </w:rPr>
              <w:t xml:space="preserve"> </w:t>
            </w:r>
            <w:r w:rsidRPr="00D55BAF">
              <w:rPr>
                <w:color w:val="2A2A25"/>
                <w:highlight w:val="red"/>
                <w:lang w:val="en-US" w:eastAsia="it-IT"/>
              </w:rPr>
              <w:t xml:space="preserve">and promotion of necessary social distance and </w:t>
            </w:r>
            <w:r w:rsidRPr="00D55BAF">
              <w:rPr>
                <w:color w:val="2A2A25"/>
                <w:highlight w:val="red"/>
                <w:lang w:val="en-US" w:eastAsia="it-IT"/>
              </w:rPr>
              <w:lastRenderedPageBreak/>
              <w:t>avoidance of excess of 1000 participants</w:t>
            </w:r>
          </w:p>
          <w:p w:rsidR="00D66392" w:rsidRPr="00D55BAF" w:rsidRDefault="00D66392" w:rsidP="00D66392">
            <w:pPr>
              <w:pStyle w:val="Listenabsatz"/>
              <w:numPr>
                <w:ilvl w:val="0"/>
                <w:numId w:val="2"/>
              </w:numPr>
              <w:ind w:left="169" w:hanging="141"/>
              <w:rPr>
                <w:color w:val="2A2A25"/>
                <w:highlight w:val="red"/>
                <w:lang w:val="en-US" w:eastAsia="it-IT"/>
              </w:rPr>
            </w:pPr>
            <w:r w:rsidRPr="00D55BAF">
              <w:rPr>
                <w:color w:val="2A2A25"/>
                <w:highlight w:val="red"/>
                <w:lang w:val="en-US" w:eastAsia="it-IT"/>
              </w:rPr>
              <w:t>Extraordinary sanitization to be implemented on public spaces/transport as necessary.</w:t>
            </w:r>
          </w:p>
          <w:p w:rsidR="00D66392" w:rsidRPr="003C0E78" w:rsidRDefault="00D66392" w:rsidP="00D66392">
            <w:pPr>
              <w:pStyle w:val="Listenabsatz"/>
              <w:numPr>
                <w:ilvl w:val="0"/>
                <w:numId w:val="2"/>
              </w:numPr>
              <w:ind w:left="169" w:hanging="141"/>
              <w:rPr>
                <w:color w:val="2A2A25"/>
                <w:lang w:val="en-US" w:eastAsia="it-IT"/>
              </w:rPr>
            </w:pPr>
            <w:proofErr w:type="gramStart"/>
            <w:r w:rsidRPr="00D55BAF">
              <w:rPr>
                <w:highlight w:val="red"/>
                <w:lang w:val="en-IE"/>
              </w:rPr>
              <w:t>measures</w:t>
            </w:r>
            <w:proofErr w:type="gramEnd"/>
            <w:r w:rsidRPr="00D55BAF">
              <w:rPr>
                <w:highlight w:val="red"/>
                <w:lang w:val="en-IE"/>
              </w:rPr>
              <w:t xml:space="preserve"> to decrease density of passengers, and increased ventilation </w:t>
            </w:r>
            <w:proofErr w:type="spellStart"/>
            <w:r w:rsidRPr="00D55BAF">
              <w:rPr>
                <w:highlight w:val="red"/>
                <w:lang w:val="en-IE"/>
              </w:rPr>
              <w:t>onboard</w:t>
            </w:r>
            <w:proofErr w:type="spellEnd"/>
            <w:r w:rsidRPr="00D55BAF">
              <w:rPr>
                <w:highlight w:val="red"/>
                <w:lang w:val="en-IE"/>
              </w:rPr>
              <w:t xml:space="preserve"> conveyances.</w:t>
            </w:r>
          </w:p>
        </w:tc>
        <w:tc>
          <w:tcPr>
            <w:tcW w:w="3686" w:type="dxa"/>
          </w:tcPr>
          <w:p w:rsidR="00D66392" w:rsidRDefault="00D66392" w:rsidP="00D66392">
            <w:pPr>
              <w:pStyle w:val="Listenabsatz"/>
              <w:numPr>
                <w:ilvl w:val="0"/>
                <w:numId w:val="2"/>
              </w:numPr>
              <w:ind w:left="169" w:hanging="141"/>
              <w:rPr>
                <w:color w:val="2A2A25"/>
                <w:lang w:val="en-US" w:eastAsia="it-IT"/>
              </w:rPr>
            </w:pPr>
            <w:r w:rsidRPr="00D55BAF">
              <w:rPr>
                <w:color w:val="2A2A25"/>
                <w:highlight w:val="red"/>
                <w:lang w:val="en-US" w:eastAsia="it-IT"/>
              </w:rPr>
              <w:lastRenderedPageBreak/>
              <w:t>The suspension of transportation (both goods and people), with possibility of derogation.</w:t>
            </w:r>
          </w:p>
        </w:tc>
      </w:tr>
      <w:tr w:rsidR="00D66392" w:rsidRPr="00D66392" w:rsidTr="00804B0B">
        <w:tc>
          <w:tcPr>
            <w:tcW w:w="1934" w:type="dxa"/>
            <w:vMerge/>
            <w:shd w:val="clear" w:color="auto" w:fill="E7E6E6" w:themeFill="background2"/>
          </w:tcPr>
          <w:p w:rsidR="00D66392" w:rsidRPr="00C943AD" w:rsidRDefault="00D66392" w:rsidP="00D66392">
            <w:pPr>
              <w:rPr>
                <w:b/>
              </w:rPr>
            </w:pPr>
          </w:p>
        </w:tc>
        <w:tc>
          <w:tcPr>
            <w:tcW w:w="3306" w:type="dxa"/>
          </w:tcPr>
          <w:p w:rsidR="00D66392" w:rsidRDefault="00D66392" w:rsidP="00D66392">
            <w:pPr>
              <w:pStyle w:val="Listenabsatz"/>
              <w:numPr>
                <w:ilvl w:val="0"/>
                <w:numId w:val="2"/>
              </w:numPr>
              <w:ind w:left="169" w:hanging="141"/>
              <w:rPr>
                <w:color w:val="2A2A25"/>
                <w:lang w:val="en-US" w:eastAsia="it-IT"/>
              </w:rPr>
            </w:pPr>
            <w:r w:rsidRPr="00D50EC7">
              <w:rPr>
                <w:color w:val="2A2A25"/>
                <w:highlight w:val="red"/>
                <w:lang w:val="en-US" w:eastAsia="it-IT"/>
              </w:rPr>
              <w:t>Extraordinary sanitization to be implemented on public spaces/transport as necessary.</w:t>
            </w:r>
            <w:r>
              <w:rPr>
                <w:color w:val="2A2A25"/>
                <w:lang w:val="en-US" w:eastAsia="it-IT"/>
              </w:rPr>
              <w:t xml:space="preserve"> </w:t>
            </w:r>
          </w:p>
        </w:tc>
        <w:tc>
          <w:tcPr>
            <w:tcW w:w="3686" w:type="dxa"/>
          </w:tcPr>
          <w:p w:rsidR="00D66392" w:rsidRPr="00D55BAF" w:rsidRDefault="00D66392" w:rsidP="00D66392">
            <w:pPr>
              <w:pStyle w:val="Listenabsatz"/>
              <w:numPr>
                <w:ilvl w:val="0"/>
                <w:numId w:val="2"/>
              </w:numPr>
              <w:ind w:left="169" w:hanging="141"/>
              <w:rPr>
                <w:color w:val="2A2A25"/>
                <w:highlight w:val="green"/>
                <w:lang w:val="en-US" w:eastAsia="it-IT"/>
              </w:rPr>
            </w:pPr>
            <w:r w:rsidRPr="00D55BAF">
              <w:rPr>
                <w:color w:val="2A2A25"/>
                <w:highlight w:val="green"/>
                <w:lang w:val="en-US" w:eastAsia="it-IT"/>
              </w:rPr>
              <w:t>Restaurants, bars and pubs are open for services at tables,</w:t>
            </w:r>
            <w:r w:rsidRPr="003F36E2">
              <w:rPr>
                <w:color w:val="2A2A25"/>
                <w:lang w:val="en-US" w:eastAsia="it-IT"/>
              </w:rPr>
              <w:t xml:space="preserve"> </w:t>
            </w:r>
            <w:r w:rsidRPr="00D55BAF">
              <w:rPr>
                <w:color w:val="2A2A25"/>
                <w:highlight w:val="green"/>
                <w:lang w:val="en-US" w:eastAsia="it-IT"/>
              </w:rPr>
              <w:t>if necessary social distance can be guaranteed and below 1000 participants</w:t>
            </w:r>
          </w:p>
          <w:p w:rsidR="00D66392" w:rsidRPr="00D55BAF" w:rsidRDefault="00D66392" w:rsidP="00D66392">
            <w:pPr>
              <w:pStyle w:val="Listenabsatz"/>
              <w:numPr>
                <w:ilvl w:val="0"/>
                <w:numId w:val="2"/>
              </w:numPr>
              <w:ind w:left="169" w:hanging="141"/>
              <w:rPr>
                <w:color w:val="2A2A25"/>
                <w:highlight w:val="red"/>
                <w:lang w:val="en-US" w:eastAsia="it-IT"/>
              </w:rPr>
            </w:pPr>
            <w:r w:rsidRPr="00D55BAF">
              <w:rPr>
                <w:color w:val="2A2A25"/>
                <w:highlight w:val="red"/>
                <w:lang w:val="en-US" w:eastAsia="it-IT"/>
              </w:rPr>
              <w:t>Restaurant, bars and pubs should be immediately suspended in case of infection and reopened after environmental cleaning.</w:t>
            </w:r>
          </w:p>
          <w:p w:rsidR="00D66392" w:rsidRPr="00D55BAF" w:rsidRDefault="00D66392" w:rsidP="00D66392">
            <w:pPr>
              <w:pStyle w:val="Listenabsatz"/>
              <w:numPr>
                <w:ilvl w:val="0"/>
                <w:numId w:val="2"/>
              </w:numPr>
              <w:ind w:left="169" w:hanging="141"/>
              <w:rPr>
                <w:color w:val="2A2A25"/>
                <w:highlight w:val="red"/>
                <w:lang w:val="en-US" w:eastAsia="it-IT"/>
              </w:rPr>
            </w:pPr>
            <w:r w:rsidRPr="00D55BAF">
              <w:rPr>
                <w:color w:val="2A2A25"/>
                <w:highlight w:val="green"/>
                <w:lang w:val="en-US" w:eastAsia="it-IT"/>
              </w:rPr>
              <w:t xml:space="preserve">Other commercial activities to remain </w:t>
            </w:r>
            <w:r w:rsidRPr="00D55BAF">
              <w:rPr>
                <w:color w:val="2A2A25"/>
                <w:highlight w:val="red"/>
                <w:lang w:val="en-US" w:eastAsia="it-IT"/>
              </w:rPr>
              <w:t>open where necessary and social distance should be guaranteed and below 1000 participants</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The closure of theaters and cinemas should be considered.</w:t>
            </w:r>
          </w:p>
          <w:p w:rsidR="00D66392" w:rsidRDefault="00D66392" w:rsidP="00D66392">
            <w:pPr>
              <w:pStyle w:val="Listenabsatz"/>
              <w:numPr>
                <w:ilvl w:val="0"/>
                <w:numId w:val="2"/>
              </w:numPr>
              <w:ind w:left="169" w:hanging="141"/>
              <w:rPr>
                <w:color w:val="2A2A25"/>
                <w:lang w:val="en-US" w:eastAsia="it-IT"/>
              </w:rPr>
            </w:pPr>
            <w:r w:rsidRPr="00D50EC7">
              <w:rPr>
                <w:color w:val="2A2A25"/>
                <w:highlight w:val="green"/>
                <w:lang w:val="en-US" w:eastAsia="it-IT"/>
              </w:rPr>
              <w:t>Visits to hospitals, prisons, orphanages etc. are limited and should ensure necessary social distance</w:t>
            </w:r>
            <w:r>
              <w:rPr>
                <w:color w:val="2A2A25"/>
                <w:lang w:val="en-US" w:eastAsia="it-IT"/>
              </w:rPr>
              <w:t xml:space="preserve"> </w:t>
            </w:r>
          </w:p>
        </w:tc>
        <w:tc>
          <w:tcPr>
            <w:tcW w:w="3686" w:type="dxa"/>
          </w:tcPr>
          <w:p w:rsidR="00D66392" w:rsidRDefault="00D66392" w:rsidP="00F554C2">
            <w:pPr>
              <w:pStyle w:val="Listenabsatz"/>
              <w:ind w:left="169"/>
              <w:rPr>
                <w:color w:val="2A2A25"/>
                <w:lang w:val="en-US" w:eastAsia="it-IT"/>
              </w:rPr>
            </w:pPr>
          </w:p>
        </w:tc>
      </w:tr>
      <w:tr w:rsidR="00D66392" w:rsidTr="00804B0B">
        <w:tc>
          <w:tcPr>
            <w:tcW w:w="1934" w:type="dxa"/>
            <w:vMerge/>
            <w:shd w:val="clear" w:color="auto" w:fill="E7E6E6" w:themeFill="background2"/>
          </w:tcPr>
          <w:p w:rsidR="00D66392" w:rsidRPr="00C943AD" w:rsidRDefault="00D66392" w:rsidP="00D66392">
            <w:pPr>
              <w:rPr>
                <w:b/>
              </w:rPr>
            </w:pPr>
          </w:p>
        </w:tc>
        <w:tc>
          <w:tcPr>
            <w:tcW w:w="3306" w:type="dxa"/>
          </w:tcPr>
          <w:p w:rsidR="00D66392" w:rsidRPr="00D50EC7" w:rsidRDefault="00D66392" w:rsidP="00D66392">
            <w:pPr>
              <w:pStyle w:val="Listenabsatz"/>
              <w:numPr>
                <w:ilvl w:val="0"/>
                <w:numId w:val="2"/>
              </w:numPr>
              <w:ind w:left="169" w:hanging="141"/>
              <w:rPr>
                <w:color w:val="2A2A25"/>
                <w:highlight w:val="red"/>
                <w:lang w:val="en-US" w:eastAsia="it-IT"/>
              </w:rPr>
            </w:pPr>
            <w:r w:rsidRPr="00D50EC7">
              <w:rPr>
                <w:color w:val="2A2A25"/>
                <w:highlight w:val="red"/>
                <w:lang w:val="en-US" w:eastAsia="it-IT"/>
              </w:rPr>
              <w:t>Soap and water for hand cleaning should be available in public spaces</w:t>
            </w:r>
            <w:r w:rsidRPr="00D50EC7">
              <w:rPr>
                <w:color w:val="2A2A25"/>
                <w:highlight w:val="red"/>
                <w:lang w:val="en-GB" w:eastAsia="it-IT"/>
              </w:rPr>
              <w:t xml:space="preserve"> and points of gathering.</w:t>
            </w:r>
          </w:p>
          <w:p w:rsidR="00D66392" w:rsidRDefault="00D66392" w:rsidP="00D66392">
            <w:pPr>
              <w:pStyle w:val="Listenabsatz"/>
              <w:numPr>
                <w:ilvl w:val="0"/>
                <w:numId w:val="2"/>
              </w:numPr>
              <w:ind w:left="169" w:hanging="141"/>
              <w:rPr>
                <w:color w:val="2A2A25"/>
                <w:lang w:val="en-US" w:eastAsia="it-IT"/>
              </w:rPr>
            </w:pPr>
            <w:r w:rsidRPr="00D50EC7">
              <w:rPr>
                <w:color w:val="2A2A25"/>
                <w:highlight w:val="red"/>
                <w:lang w:val="en-US" w:eastAsia="it-IT"/>
              </w:rPr>
              <w:t xml:space="preserve">Alcohol based gels are a secondary  option (not current </w:t>
            </w:r>
            <w:r w:rsidRPr="00D50EC7">
              <w:rPr>
                <w:color w:val="2A2A25"/>
                <w:highlight w:val="red"/>
                <w:lang w:val="en-US" w:eastAsia="it-IT"/>
              </w:rPr>
              <w:lastRenderedPageBreak/>
              <w:t>shortages)</w:t>
            </w:r>
          </w:p>
        </w:tc>
        <w:tc>
          <w:tcPr>
            <w:tcW w:w="3686" w:type="dxa"/>
          </w:tcPr>
          <w:p w:rsidR="00D66392" w:rsidRPr="00D50EC7" w:rsidRDefault="00D66392" w:rsidP="00D66392">
            <w:pPr>
              <w:pStyle w:val="Listenabsatz"/>
              <w:numPr>
                <w:ilvl w:val="0"/>
                <w:numId w:val="2"/>
              </w:numPr>
              <w:ind w:left="169" w:hanging="141"/>
              <w:rPr>
                <w:color w:val="2A2A25"/>
                <w:highlight w:val="red"/>
                <w:lang w:val="en-US" w:eastAsia="it-IT"/>
              </w:rPr>
            </w:pPr>
            <w:r>
              <w:rPr>
                <w:color w:val="2A2A25"/>
                <w:lang w:val="en-US" w:eastAsia="it-IT"/>
              </w:rPr>
              <w:lastRenderedPageBreak/>
              <w:t xml:space="preserve"> </w:t>
            </w:r>
            <w:r w:rsidRPr="00D50EC7">
              <w:rPr>
                <w:color w:val="2A2A25"/>
                <w:highlight w:val="red"/>
                <w:lang w:val="en-US" w:eastAsia="it-IT"/>
              </w:rPr>
              <w:t>Soap and water for hand cleaning should be available in public spaces</w:t>
            </w:r>
            <w:r w:rsidRPr="00D50EC7">
              <w:rPr>
                <w:color w:val="2A2A25"/>
                <w:highlight w:val="red"/>
                <w:lang w:val="en-GB" w:eastAsia="it-IT"/>
              </w:rPr>
              <w:t xml:space="preserve"> and points of gathering.</w:t>
            </w:r>
          </w:p>
          <w:p w:rsidR="00D66392" w:rsidRDefault="00D66392" w:rsidP="00D66392">
            <w:pPr>
              <w:pStyle w:val="Listenabsatz"/>
              <w:numPr>
                <w:ilvl w:val="0"/>
                <w:numId w:val="2"/>
              </w:numPr>
              <w:ind w:left="169" w:hanging="141"/>
              <w:rPr>
                <w:color w:val="2A2A25"/>
                <w:lang w:val="en-US" w:eastAsia="it-IT"/>
              </w:rPr>
            </w:pPr>
            <w:r w:rsidRPr="00D50EC7">
              <w:rPr>
                <w:color w:val="2A2A25"/>
                <w:highlight w:val="red"/>
                <w:lang w:val="en-US" w:eastAsia="it-IT"/>
              </w:rPr>
              <w:t>Alcohol based gels are a secondary  option (not current shortages</w:t>
            </w:r>
            <w:r>
              <w:rPr>
                <w:color w:val="2A2A25"/>
                <w:lang w:val="en-US" w:eastAsia="it-IT"/>
              </w:rPr>
              <w:t>)</w:t>
            </w:r>
          </w:p>
        </w:tc>
        <w:tc>
          <w:tcPr>
            <w:tcW w:w="3686" w:type="dxa"/>
          </w:tcPr>
          <w:p w:rsidR="00D66392" w:rsidRPr="00F554C2" w:rsidRDefault="00D66392" w:rsidP="00F554C2">
            <w:pPr>
              <w:ind w:left="28"/>
              <w:rPr>
                <w:color w:val="2A2A25"/>
                <w:lang w:val="en-US" w:eastAsia="it-IT"/>
              </w:rPr>
            </w:pPr>
          </w:p>
        </w:tc>
      </w:tr>
      <w:tr w:rsidR="00D66392" w:rsidRPr="00D66392" w:rsidTr="00804B0B">
        <w:tc>
          <w:tcPr>
            <w:tcW w:w="1934" w:type="dxa"/>
            <w:shd w:val="clear" w:color="auto" w:fill="E7E6E6" w:themeFill="background2"/>
          </w:tcPr>
          <w:p w:rsidR="00D66392" w:rsidRPr="00C943AD" w:rsidRDefault="00D66392" w:rsidP="00D66392">
            <w:pPr>
              <w:rPr>
                <w:b/>
              </w:rPr>
            </w:pPr>
            <w:r w:rsidRPr="00C943AD">
              <w:rPr>
                <w:b/>
              </w:rPr>
              <w:lastRenderedPageBreak/>
              <w:t>Schools</w:t>
            </w:r>
          </w:p>
        </w:tc>
        <w:tc>
          <w:tcPr>
            <w:tcW w:w="3306" w:type="dxa"/>
          </w:tcPr>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 xml:space="preserve">School activities should be immediately suspended </w:t>
            </w:r>
            <w:r w:rsidRPr="00D50EC7">
              <w:rPr>
                <w:highlight w:val="green"/>
                <w:lang w:val="en-GB"/>
              </w:rPr>
              <w:t>in case of first infected case in school or indications of local transmission in community</w:t>
            </w:r>
            <w:r w:rsidRPr="00D50EC7">
              <w:rPr>
                <w:color w:val="2A2A25"/>
                <w:highlight w:val="green"/>
                <w:lang w:val="en-US" w:eastAsia="it-IT"/>
              </w:rPr>
              <w:t xml:space="preserve"> and reopened after environmental cleaning and if need be after the duration of 14 days (applicable from kindergarten to university)</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E-learning activities to be supported.</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School activities equal to or above 1,000 participants strongly recommended to be cancelled</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Cancellation of non-essential school travel, exchanges and/or visits strongly recommended</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highlight w:val="green"/>
                <w:lang w:val="en-IE"/>
              </w:rPr>
              <w:t>Education facilities need to have washbasins and soap and school need to incorporates handwashing routines (e.g. at start of school, before meals, at end of school</w:t>
            </w:r>
            <w:r w:rsidRPr="00D50EC7" w:rsidDel="008D22F1">
              <w:rPr>
                <w:color w:val="2A2A25"/>
                <w:highlight w:val="green"/>
                <w:lang w:val="en-US" w:eastAsia="it-IT"/>
              </w:rPr>
              <w:t xml:space="preserve"> </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Options to reduce transmission: smaller school groups, increasing physical distance of children in the class, promotion of washing of hands and outdoor classes.</w:t>
            </w:r>
          </w:p>
          <w:p w:rsidR="00D66392" w:rsidRDefault="00D66392" w:rsidP="00D66392">
            <w:pPr>
              <w:pStyle w:val="Listenabsatz"/>
              <w:numPr>
                <w:ilvl w:val="0"/>
                <w:numId w:val="2"/>
              </w:numPr>
              <w:ind w:left="169" w:hanging="141"/>
              <w:rPr>
                <w:color w:val="2A2A25"/>
                <w:lang w:val="en-US" w:eastAsia="it-IT"/>
              </w:rPr>
            </w:pPr>
            <w:r w:rsidRPr="00D50EC7">
              <w:rPr>
                <w:color w:val="2A2A25"/>
                <w:highlight w:val="green"/>
                <w:lang w:val="en-US" w:eastAsia="it-IT"/>
              </w:rPr>
              <w:t>Improve ventilation turnover and increase maintenance</w:t>
            </w:r>
            <w:r>
              <w:rPr>
                <w:color w:val="2A2A25"/>
                <w:lang w:val="en-US" w:eastAsia="it-IT"/>
              </w:rPr>
              <w:t xml:space="preserve"> </w:t>
            </w:r>
            <w:r w:rsidRPr="0035362B">
              <w:rPr>
                <w:color w:val="2A2A25"/>
                <w:highlight w:val="green"/>
                <w:lang w:val="en-US" w:eastAsia="it-IT"/>
              </w:rPr>
              <w:lastRenderedPageBreak/>
              <w:t>frequency</w:t>
            </w:r>
          </w:p>
          <w:p w:rsidR="00D66392" w:rsidRDefault="00D66392" w:rsidP="00D66392">
            <w:pPr>
              <w:pStyle w:val="Listenabsatz"/>
              <w:numPr>
                <w:ilvl w:val="0"/>
                <w:numId w:val="2"/>
              </w:numPr>
              <w:ind w:left="169" w:hanging="141"/>
              <w:rPr>
                <w:color w:val="2A2A25"/>
                <w:lang w:val="en-US" w:eastAsia="it-IT"/>
              </w:rPr>
            </w:pPr>
            <w:r w:rsidRPr="0035362B">
              <w:rPr>
                <w:color w:val="2A2A25"/>
                <w:highlight w:val="red"/>
                <w:lang w:val="en-US" w:eastAsia="it-IT"/>
              </w:rPr>
              <w:t>Improve frequency of surface cleaning, including in toilets</w:t>
            </w:r>
          </w:p>
        </w:tc>
        <w:tc>
          <w:tcPr>
            <w:tcW w:w="3686" w:type="dxa"/>
          </w:tcPr>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lastRenderedPageBreak/>
              <w:t xml:space="preserve">School activities should be suspended  </w:t>
            </w:r>
            <w:r w:rsidRPr="00D50EC7">
              <w:rPr>
                <w:highlight w:val="green"/>
                <w:lang w:val="en-IE"/>
              </w:rPr>
              <w:t>first infected case in school or indications of local transmission in community</w:t>
            </w:r>
            <w:r w:rsidRPr="00D50EC7">
              <w:rPr>
                <w:color w:val="2A2A25"/>
                <w:highlight w:val="green"/>
                <w:lang w:val="en-US" w:eastAsia="it-IT"/>
              </w:rPr>
              <w:t xml:space="preserve"> (from kindergarten to university)</w:t>
            </w:r>
          </w:p>
          <w:p w:rsidR="00D66392" w:rsidRPr="00D50EC7" w:rsidRDefault="00D66392" w:rsidP="00D66392">
            <w:pPr>
              <w:pStyle w:val="Listenabsatz"/>
              <w:numPr>
                <w:ilvl w:val="0"/>
                <w:numId w:val="2"/>
              </w:numPr>
              <w:ind w:left="169" w:hanging="141"/>
              <w:rPr>
                <w:color w:val="2A2A25"/>
                <w:highlight w:val="red"/>
                <w:lang w:val="en-US" w:eastAsia="it-IT"/>
              </w:rPr>
            </w:pPr>
            <w:r w:rsidRPr="00D50EC7">
              <w:rPr>
                <w:color w:val="2A2A25"/>
                <w:highlight w:val="red"/>
                <w:lang w:val="en-US" w:eastAsia="it-IT"/>
              </w:rPr>
              <w:t>Maintenance of e-learning activities, where possible.</w:t>
            </w:r>
          </w:p>
          <w:p w:rsidR="00D66392" w:rsidRPr="00E218B6" w:rsidRDefault="00D66392" w:rsidP="00D66392">
            <w:pPr>
              <w:pStyle w:val="Listenabsatz"/>
              <w:numPr>
                <w:ilvl w:val="0"/>
                <w:numId w:val="2"/>
              </w:numPr>
              <w:ind w:left="169" w:hanging="141"/>
              <w:rPr>
                <w:color w:val="2A2A25"/>
                <w:lang w:val="en-US" w:eastAsia="it-IT"/>
              </w:rPr>
            </w:pPr>
            <w:r w:rsidRPr="00D50EC7">
              <w:rPr>
                <w:highlight w:val="green"/>
                <w:lang w:val="en-IE"/>
              </w:rPr>
              <w:t>Before or instead of closures, health authorities should plan to reduce transmission opportunities within schools while children continue to attend through other measures. These may include smaller school groups, increasing physical distance between children in the class, promotion of washing of hands and outdoor classes. In the event of illness, strict isolation of sick children and staff at home or healthcare facilities is advisable in all the scenarios</w:t>
            </w:r>
          </w:p>
        </w:tc>
        <w:tc>
          <w:tcPr>
            <w:tcW w:w="3686" w:type="dxa"/>
          </w:tcPr>
          <w:p w:rsidR="00D66392" w:rsidRDefault="00D66392" w:rsidP="00D66392">
            <w:pPr>
              <w:pStyle w:val="Listenabsatz"/>
              <w:numPr>
                <w:ilvl w:val="0"/>
                <w:numId w:val="2"/>
              </w:numPr>
              <w:ind w:left="169" w:hanging="141"/>
              <w:rPr>
                <w:color w:val="2A2A25"/>
                <w:lang w:val="en-US" w:eastAsia="it-IT"/>
              </w:rPr>
            </w:pPr>
            <w:r w:rsidRPr="00D50EC7">
              <w:rPr>
                <w:highlight w:val="green"/>
                <w:lang w:val="en-IE"/>
              </w:rPr>
              <w:t>Reactive closures of schools necessary as a consequence of widespread virus transmission in the community and educational settings.</w:t>
            </w:r>
          </w:p>
        </w:tc>
      </w:tr>
      <w:tr w:rsidR="00D66392" w:rsidRPr="00D66392" w:rsidTr="00804B0B">
        <w:tc>
          <w:tcPr>
            <w:tcW w:w="1934" w:type="dxa"/>
            <w:shd w:val="clear" w:color="auto" w:fill="E7E6E6" w:themeFill="background2"/>
          </w:tcPr>
          <w:p w:rsidR="00D66392" w:rsidRPr="00C943AD" w:rsidRDefault="00D66392" w:rsidP="00D66392">
            <w:pPr>
              <w:rPr>
                <w:b/>
              </w:rPr>
            </w:pPr>
            <w:r>
              <w:rPr>
                <w:b/>
              </w:rPr>
              <w:lastRenderedPageBreak/>
              <w:t>Workplace</w:t>
            </w:r>
          </w:p>
        </w:tc>
        <w:tc>
          <w:tcPr>
            <w:tcW w:w="3306" w:type="dxa"/>
          </w:tcPr>
          <w:p w:rsidR="00D66392" w:rsidRPr="00D50EC7" w:rsidRDefault="00D66392" w:rsidP="00D66392">
            <w:pPr>
              <w:pStyle w:val="Listenabsatz"/>
              <w:numPr>
                <w:ilvl w:val="0"/>
                <w:numId w:val="2"/>
              </w:numPr>
              <w:ind w:left="169" w:hanging="141"/>
              <w:rPr>
                <w:color w:val="2A2A25"/>
                <w:sz w:val="28"/>
                <w:highlight w:val="red"/>
                <w:lang w:val="en-US" w:eastAsia="it-IT"/>
              </w:rPr>
            </w:pPr>
            <w:r w:rsidRPr="00D50EC7">
              <w:rPr>
                <w:szCs w:val="18"/>
                <w:highlight w:val="red"/>
                <w:lang w:val="en-IE"/>
              </w:rPr>
              <w:t xml:space="preserve">Employers should encourage and support self-isolation of employees at home in case they experience respiratory symptoms; efforts should be made to identify symptomatic persons in the workplace for this purpose. </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At work, flexible work arrangements (telework, video-conferencing, shifts, physical distancing) are encouraged, as well as cancellation of non-essential business travel and visits.  </w:t>
            </w:r>
          </w:p>
          <w:p w:rsidR="00D66392" w:rsidRPr="00D50EC7" w:rsidRDefault="00D66392" w:rsidP="00D66392">
            <w:pPr>
              <w:pStyle w:val="Listenabsatz"/>
              <w:numPr>
                <w:ilvl w:val="0"/>
                <w:numId w:val="2"/>
              </w:numPr>
              <w:ind w:left="169" w:hanging="141"/>
              <w:rPr>
                <w:color w:val="2A2A25"/>
                <w:highlight w:val="red"/>
                <w:lang w:val="en-US" w:eastAsia="it-IT"/>
              </w:rPr>
            </w:pPr>
            <w:r w:rsidRPr="00D50EC7">
              <w:rPr>
                <w:color w:val="2A2A25"/>
                <w:highlight w:val="red"/>
                <w:lang w:val="en-US" w:eastAsia="it-IT"/>
              </w:rPr>
              <w:t>Work places should be immediately suspended in case of infection and reopened after environmental cleaning.</w:t>
            </w:r>
          </w:p>
          <w:p w:rsidR="00D66392" w:rsidRPr="00D50EC7" w:rsidRDefault="00D66392" w:rsidP="00D66392">
            <w:pPr>
              <w:pStyle w:val="Listenabsatz"/>
              <w:numPr>
                <w:ilvl w:val="0"/>
                <w:numId w:val="2"/>
              </w:numPr>
              <w:ind w:left="169" w:hanging="141"/>
              <w:rPr>
                <w:color w:val="2A2A25"/>
                <w:highlight w:val="red"/>
                <w:lang w:val="en-US" w:eastAsia="it-IT"/>
              </w:rPr>
            </w:pPr>
            <w:r w:rsidRPr="00D50EC7">
              <w:rPr>
                <w:color w:val="2A2A25"/>
                <w:highlight w:val="red"/>
                <w:lang w:val="en-US" w:eastAsia="it-IT"/>
              </w:rPr>
              <w:t>Soap and water for hand cleaning should be available in public spaces</w:t>
            </w:r>
            <w:r w:rsidRPr="00D50EC7">
              <w:rPr>
                <w:color w:val="2A2A25"/>
                <w:highlight w:val="red"/>
                <w:lang w:val="en-GB" w:eastAsia="it-IT"/>
              </w:rPr>
              <w:t xml:space="preserve"> and points of gathering.</w:t>
            </w:r>
          </w:p>
          <w:p w:rsidR="00D66392" w:rsidRPr="00D50EC7" w:rsidRDefault="00D66392" w:rsidP="00D66392">
            <w:pPr>
              <w:pStyle w:val="Listenabsatz"/>
              <w:numPr>
                <w:ilvl w:val="0"/>
                <w:numId w:val="2"/>
              </w:numPr>
              <w:ind w:left="169" w:hanging="141"/>
              <w:rPr>
                <w:color w:val="2A2A25"/>
                <w:highlight w:val="red"/>
                <w:lang w:val="en-US" w:eastAsia="it-IT"/>
              </w:rPr>
            </w:pPr>
            <w:r w:rsidRPr="00D50EC7">
              <w:rPr>
                <w:color w:val="2A2A25"/>
                <w:highlight w:val="red"/>
                <w:lang w:val="en-US" w:eastAsia="it-IT"/>
              </w:rPr>
              <w:t>Alcohol based gels are a secondary  option (not current shortages)Improve ventilation turnover and increase maintenance frequency</w:t>
            </w:r>
          </w:p>
          <w:p w:rsidR="00D66392" w:rsidRPr="00BB6A7A" w:rsidRDefault="00D66392" w:rsidP="00D66392">
            <w:pPr>
              <w:pStyle w:val="Listenabsatz"/>
              <w:numPr>
                <w:ilvl w:val="0"/>
                <w:numId w:val="2"/>
              </w:numPr>
              <w:ind w:left="169" w:hanging="141"/>
              <w:rPr>
                <w:color w:val="2A2A25"/>
                <w:lang w:val="en-US" w:eastAsia="it-IT"/>
              </w:rPr>
            </w:pPr>
            <w:r w:rsidRPr="00D50EC7">
              <w:rPr>
                <w:color w:val="2A2A25"/>
                <w:highlight w:val="red"/>
                <w:lang w:val="en-US" w:eastAsia="it-IT"/>
              </w:rPr>
              <w:t>Improve frequency of surface cleaning, including in toilets</w:t>
            </w:r>
          </w:p>
        </w:tc>
        <w:tc>
          <w:tcPr>
            <w:tcW w:w="3686" w:type="dxa"/>
          </w:tcPr>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 xml:space="preserve">Telework and videoconferencing is strongly recommended. </w:t>
            </w:r>
          </w:p>
          <w:p w:rsidR="00D66392" w:rsidRPr="00D50EC7" w:rsidRDefault="00D66392" w:rsidP="00D66392">
            <w:pPr>
              <w:pStyle w:val="Listenabsatz"/>
              <w:numPr>
                <w:ilvl w:val="0"/>
                <w:numId w:val="2"/>
              </w:numPr>
              <w:ind w:left="169" w:hanging="141"/>
              <w:rPr>
                <w:color w:val="2A2A25"/>
                <w:highlight w:val="red"/>
                <w:lang w:val="en-US" w:eastAsia="it-IT"/>
              </w:rPr>
            </w:pPr>
            <w:r w:rsidRPr="00D50EC7">
              <w:rPr>
                <w:color w:val="2A2A25"/>
                <w:highlight w:val="red"/>
                <w:lang w:val="en-US" w:eastAsia="it-IT"/>
              </w:rPr>
              <w:t>Non-essential business travel and visits are to be cancelled.  </w:t>
            </w:r>
          </w:p>
          <w:p w:rsidR="00D66392" w:rsidRDefault="00D66392" w:rsidP="00D66392"/>
        </w:tc>
        <w:tc>
          <w:tcPr>
            <w:tcW w:w="3686" w:type="dxa"/>
          </w:tcPr>
          <w:p w:rsidR="00D66392" w:rsidRPr="00636229" w:rsidRDefault="00D66392" w:rsidP="000E2942">
            <w:pPr>
              <w:pStyle w:val="Listenabsatz"/>
              <w:numPr>
                <w:ilvl w:val="0"/>
                <w:numId w:val="2"/>
              </w:numPr>
              <w:ind w:left="169" w:hanging="141"/>
              <w:rPr>
                <w:color w:val="2A2A25"/>
                <w:lang w:val="en-US" w:eastAsia="it-IT"/>
              </w:rPr>
            </w:pPr>
            <w:r w:rsidRPr="00D50EC7">
              <w:rPr>
                <w:color w:val="2A2A25"/>
                <w:highlight w:val="green"/>
                <w:lang w:val="en-US" w:eastAsia="it-IT"/>
              </w:rPr>
              <w:t xml:space="preserve">Telework and videoconferencing </w:t>
            </w:r>
            <w:r w:rsidR="000E2942" w:rsidRPr="00D50EC7">
              <w:rPr>
                <w:color w:val="2A2A25"/>
                <w:highlight w:val="green"/>
                <w:lang w:val="en-US" w:eastAsia="it-IT"/>
              </w:rPr>
              <w:t>to replace physical presence where it is possible</w:t>
            </w:r>
            <w:r w:rsidRPr="00D50EC7">
              <w:rPr>
                <w:color w:val="2A2A25"/>
                <w:highlight w:val="green"/>
                <w:lang w:val="en-US" w:eastAsia="it-IT"/>
              </w:rPr>
              <w:t>.</w:t>
            </w:r>
          </w:p>
        </w:tc>
      </w:tr>
      <w:tr w:rsidR="00D66392" w:rsidRPr="000E2942" w:rsidTr="00804B0B">
        <w:tc>
          <w:tcPr>
            <w:tcW w:w="1934" w:type="dxa"/>
            <w:shd w:val="clear" w:color="auto" w:fill="E7E6E6" w:themeFill="background2"/>
          </w:tcPr>
          <w:p w:rsidR="00D66392" w:rsidRPr="00C943AD" w:rsidRDefault="00D66392" w:rsidP="00D66392">
            <w:pPr>
              <w:rPr>
                <w:b/>
              </w:rPr>
            </w:pPr>
            <w:r w:rsidRPr="00C943AD">
              <w:rPr>
                <w:b/>
              </w:rPr>
              <w:lastRenderedPageBreak/>
              <w:t>High risk groups</w:t>
            </w:r>
          </w:p>
        </w:tc>
        <w:tc>
          <w:tcPr>
            <w:tcW w:w="3306" w:type="dxa"/>
          </w:tcPr>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 xml:space="preserve">Visits to patients indoors in nursing homes and hospices should be strongly discouraged. </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Elderly people and people with underlying medical conditions are strongly encouraged to remain in their household, while support structures are put in place.</w:t>
            </w:r>
          </w:p>
          <w:p w:rsidR="00D66392" w:rsidRPr="00BB6A7A" w:rsidRDefault="00D66392" w:rsidP="00D66392">
            <w:pPr>
              <w:pStyle w:val="Listenabsatz"/>
              <w:numPr>
                <w:ilvl w:val="0"/>
                <w:numId w:val="2"/>
              </w:numPr>
              <w:ind w:left="169" w:hanging="141"/>
              <w:rPr>
                <w:color w:val="2A2A25"/>
                <w:lang w:val="en-US" w:eastAsia="it-IT"/>
              </w:rPr>
            </w:pPr>
            <w:r w:rsidRPr="00D50EC7">
              <w:rPr>
                <w:color w:val="2A2A25"/>
                <w:highlight w:val="green"/>
                <w:lang w:val="en-US" w:eastAsia="it-IT"/>
              </w:rPr>
              <w:t>Personal visits to elderly should be limited, replaced by telecommunication as much as possible, with ensuring necessary support (e.g., neighborhood watch).</w:t>
            </w:r>
          </w:p>
        </w:tc>
        <w:tc>
          <w:tcPr>
            <w:tcW w:w="3686" w:type="dxa"/>
          </w:tcPr>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Visits to patients in nursing homes and hospices to be banned.</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Elderly people and people with underlying medical conditions are strongly encouraged to remain in their household.</w:t>
            </w:r>
          </w:p>
          <w:p w:rsidR="00D66392" w:rsidRPr="00636229" w:rsidRDefault="00D66392" w:rsidP="00D66392">
            <w:pPr>
              <w:pStyle w:val="Listenabsatz"/>
              <w:numPr>
                <w:ilvl w:val="0"/>
                <w:numId w:val="2"/>
              </w:numPr>
              <w:ind w:left="169" w:hanging="141"/>
              <w:rPr>
                <w:lang w:val="en-GB"/>
              </w:rPr>
            </w:pPr>
            <w:r w:rsidRPr="00D50EC7">
              <w:rPr>
                <w:color w:val="2A2A25"/>
                <w:highlight w:val="green"/>
                <w:lang w:val="en-US" w:eastAsia="it-IT"/>
              </w:rPr>
              <w:t>Personal visits to elderly should be limited, replaced by telecommunication as much as possible, with ensuring necessary support (e.g., neighborhood watch)</w:t>
            </w:r>
            <w:r>
              <w:rPr>
                <w:color w:val="2A2A25"/>
                <w:lang w:val="en-US" w:eastAsia="it-IT"/>
              </w:rPr>
              <w:t>.</w:t>
            </w:r>
          </w:p>
        </w:tc>
        <w:tc>
          <w:tcPr>
            <w:tcW w:w="3686" w:type="dxa"/>
          </w:tcPr>
          <w:p w:rsidR="00D66392" w:rsidRDefault="000E2942" w:rsidP="00D66392">
            <w:pPr>
              <w:pStyle w:val="Listenabsatz"/>
              <w:numPr>
                <w:ilvl w:val="0"/>
                <w:numId w:val="2"/>
              </w:numPr>
              <w:ind w:left="169" w:hanging="141"/>
              <w:rPr>
                <w:color w:val="2A2A25"/>
                <w:lang w:val="en-US" w:eastAsia="it-IT"/>
              </w:rPr>
            </w:pPr>
            <w:r>
              <w:rPr>
                <w:color w:val="2A2A25"/>
                <w:lang w:val="en-US" w:eastAsia="it-IT"/>
              </w:rPr>
              <w:t>Similar to scenario 3</w:t>
            </w:r>
          </w:p>
        </w:tc>
      </w:tr>
      <w:tr w:rsidR="00D66392" w:rsidTr="00804B0B">
        <w:tc>
          <w:tcPr>
            <w:tcW w:w="1934" w:type="dxa"/>
            <w:shd w:val="clear" w:color="auto" w:fill="E7E6E6" w:themeFill="background2"/>
          </w:tcPr>
          <w:p w:rsidR="00D66392" w:rsidRPr="00C943AD" w:rsidRDefault="00D66392" w:rsidP="00D66392">
            <w:pPr>
              <w:rPr>
                <w:b/>
              </w:rPr>
            </w:pPr>
            <w:r w:rsidRPr="00C943AD">
              <w:rPr>
                <w:b/>
                <w:color w:val="2A2A25"/>
                <w:sz w:val="24"/>
                <w:szCs w:val="24"/>
                <w:lang w:val="en-US" w:eastAsia="it-IT"/>
              </w:rPr>
              <w:t>Risk Communication</w:t>
            </w:r>
            <w:r>
              <w:rPr>
                <w:rStyle w:val="Funotenzeichen"/>
                <w:b/>
                <w:color w:val="2A2A25"/>
                <w:sz w:val="24"/>
                <w:szCs w:val="24"/>
                <w:lang w:val="en-US" w:eastAsia="it-IT"/>
              </w:rPr>
              <w:footnoteReference w:id="3"/>
            </w:r>
            <w:r>
              <w:rPr>
                <w:b/>
                <w:color w:val="2A2A25"/>
                <w:sz w:val="24"/>
                <w:szCs w:val="24"/>
                <w:lang w:val="en-US" w:eastAsia="it-IT"/>
              </w:rPr>
              <w:t xml:space="preserve"> </w:t>
            </w:r>
          </w:p>
        </w:tc>
        <w:tc>
          <w:tcPr>
            <w:tcW w:w="3306" w:type="dxa"/>
          </w:tcPr>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Use mass media and social media with the aim of reaching all households with repeated messages.</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 xml:space="preserve">Public and private </w:t>
            </w:r>
            <w:proofErr w:type="spellStart"/>
            <w:r w:rsidRPr="00D50EC7">
              <w:rPr>
                <w:color w:val="2A2A25"/>
                <w:highlight w:val="green"/>
                <w:lang w:val="en-US" w:eastAsia="it-IT"/>
              </w:rPr>
              <w:t>organisations</w:t>
            </w:r>
            <w:proofErr w:type="spellEnd"/>
            <w:r w:rsidRPr="00D50EC7">
              <w:rPr>
                <w:color w:val="2A2A25"/>
                <w:highlight w:val="green"/>
                <w:lang w:val="en-US" w:eastAsia="it-IT"/>
              </w:rPr>
              <w:t xml:space="preserve"> should develop a proactive risk communication strategy and prepare key messaging for the various scenarios, following guidance from public health authorities</w:t>
            </w:r>
          </w:p>
          <w:p w:rsidR="00D66392" w:rsidRPr="00636229" w:rsidRDefault="00D66392" w:rsidP="00D66392">
            <w:pPr>
              <w:pStyle w:val="Listenabsatz"/>
              <w:numPr>
                <w:ilvl w:val="0"/>
                <w:numId w:val="2"/>
              </w:numPr>
              <w:ind w:left="169" w:hanging="141"/>
              <w:rPr>
                <w:color w:val="2A2A25"/>
                <w:lang w:val="en-US" w:eastAsia="it-IT"/>
              </w:rPr>
            </w:pPr>
            <w:r w:rsidRPr="00D50EC7">
              <w:rPr>
                <w:color w:val="2A2A25"/>
                <w:highlight w:val="green"/>
                <w:lang w:val="en-US" w:eastAsia="it-IT"/>
              </w:rPr>
              <w:t xml:space="preserve">Communication material for the </w:t>
            </w:r>
            <w:r w:rsidRPr="00D50EC7">
              <w:rPr>
                <w:color w:val="2A2A25"/>
                <w:highlight w:val="green"/>
                <w:lang w:val="en-US" w:eastAsia="it-IT"/>
              </w:rPr>
              <w:lastRenderedPageBreak/>
              <w:t>public based on above measures to explain their necessity and rationale</w:t>
            </w:r>
            <w:r>
              <w:rPr>
                <w:color w:val="2A2A25"/>
                <w:lang w:val="en-US" w:eastAsia="it-IT"/>
              </w:rPr>
              <w:t xml:space="preserve">, </w:t>
            </w:r>
            <w:r w:rsidRPr="00D50EC7">
              <w:rPr>
                <w:color w:val="2A2A25"/>
                <w:highlight w:val="red"/>
                <w:lang w:val="en-US" w:eastAsia="it-IT"/>
              </w:rPr>
              <w:t>should be released and distributed to households</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Communication material should be available</w:t>
            </w:r>
            <w:r>
              <w:rPr>
                <w:color w:val="2A2A25"/>
                <w:lang w:val="en-US" w:eastAsia="it-IT"/>
              </w:rPr>
              <w:t xml:space="preserve"> </w:t>
            </w:r>
            <w:r w:rsidRPr="00D50EC7">
              <w:rPr>
                <w:color w:val="2A2A25"/>
                <w:highlight w:val="red"/>
                <w:lang w:val="en-US" w:eastAsia="it-IT"/>
              </w:rPr>
              <w:t>throughout public spaces</w:t>
            </w:r>
            <w:r w:rsidRPr="00D50EC7">
              <w:rPr>
                <w:color w:val="2A2A25"/>
                <w:highlight w:val="green"/>
                <w:lang w:val="en-US" w:eastAsia="it-IT"/>
              </w:rPr>
              <w:t xml:space="preserve">, government offices, media, </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Setting up a call center.</w:t>
            </w:r>
          </w:p>
          <w:p w:rsidR="00D66392" w:rsidRPr="00D50EC7" w:rsidRDefault="00D66392" w:rsidP="00D66392">
            <w:pPr>
              <w:pStyle w:val="Listenabsatz"/>
              <w:numPr>
                <w:ilvl w:val="0"/>
                <w:numId w:val="2"/>
              </w:numPr>
              <w:ind w:left="169" w:hanging="141"/>
              <w:rPr>
                <w:color w:val="2A2A25"/>
                <w:highlight w:val="green"/>
                <w:lang w:val="en-US" w:eastAsia="it-IT"/>
              </w:rPr>
            </w:pPr>
            <w:r w:rsidRPr="00D50EC7">
              <w:rPr>
                <w:color w:val="2A2A25"/>
                <w:highlight w:val="green"/>
                <w:lang w:val="en-US" w:eastAsia="it-IT"/>
              </w:rPr>
              <w:t>Methods to monitor uptake of messages, attitudes and practices should be established</w:t>
            </w:r>
          </w:p>
          <w:p w:rsidR="00D66392" w:rsidRPr="00C943AD" w:rsidRDefault="00D66392" w:rsidP="00D66392">
            <w:pPr>
              <w:rPr>
                <w:b/>
                <w:color w:val="2A2A25"/>
                <w:lang w:val="en-US" w:eastAsia="it-IT"/>
              </w:rPr>
            </w:pPr>
            <w:r>
              <w:rPr>
                <w:b/>
                <w:color w:val="2A2A25"/>
                <w:lang w:val="en-US" w:eastAsia="it-IT"/>
              </w:rPr>
              <w:t xml:space="preserve">EU </w:t>
            </w:r>
            <w:r w:rsidRPr="00C943AD">
              <w:rPr>
                <w:b/>
                <w:color w:val="2A2A25"/>
                <w:lang w:val="en-US" w:eastAsia="it-IT"/>
              </w:rPr>
              <w:t>Leafl</w:t>
            </w:r>
            <w:r>
              <w:rPr>
                <w:b/>
                <w:color w:val="2A2A25"/>
                <w:lang w:val="en-US" w:eastAsia="it-IT"/>
              </w:rPr>
              <w:t>et available</w:t>
            </w:r>
            <w:r>
              <w:rPr>
                <w:rStyle w:val="Funotenzeichen"/>
                <w:b/>
                <w:color w:val="2A2A25"/>
                <w:lang w:val="en-US" w:eastAsia="it-IT"/>
              </w:rPr>
              <w:footnoteReference w:id="4"/>
            </w:r>
          </w:p>
        </w:tc>
        <w:tc>
          <w:tcPr>
            <w:tcW w:w="3686" w:type="dxa"/>
          </w:tcPr>
          <w:p w:rsidR="00D66392" w:rsidRPr="00D50EC7" w:rsidRDefault="00D66392" w:rsidP="00D66392">
            <w:pPr>
              <w:pStyle w:val="Listenabsatz"/>
              <w:numPr>
                <w:ilvl w:val="0"/>
                <w:numId w:val="2"/>
              </w:numPr>
              <w:ind w:left="169" w:hanging="141"/>
              <w:rPr>
                <w:highlight w:val="red"/>
                <w:lang w:val="en-GB"/>
              </w:rPr>
            </w:pPr>
            <w:r w:rsidRPr="00D50EC7">
              <w:rPr>
                <w:color w:val="2A2A25"/>
                <w:highlight w:val="red"/>
                <w:lang w:val="en-US" w:eastAsia="it-IT"/>
              </w:rPr>
              <w:lastRenderedPageBreak/>
              <w:t>Communication material advising all people with acute respiratory infections (with or without travel history) to seek immediate medical attention, following national procedures, which should ideally be by phoning relevant medical service of country, as a first measure</w:t>
            </w:r>
          </w:p>
          <w:p w:rsidR="00D66392" w:rsidRPr="00D66392" w:rsidRDefault="00D66392" w:rsidP="00D66392"/>
        </w:tc>
        <w:tc>
          <w:tcPr>
            <w:tcW w:w="3686" w:type="dxa"/>
          </w:tcPr>
          <w:p w:rsidR="00D66392" w:rsidRPr="00636229" w:rsidRDefault="000E2942" w:rsidP="00D66392">
            <w:pPr>
              <w:pStyle w:val="Listenabsatz"/>
              <w:numPr>
                <w:ilvl w:val="0"/>
                <w:numId w:val="2"/>
              </w:numPr>
              <w:ind w:left="169" w:hanging="141"/>
              <w:rPr>
                <w:color w:val="2A2A25"/>
                <w:lang w:val="en-US" w:eastAsia="it-IT"/>
              </w:rPr>
            </w:pPr>
            <w:r>
              <w:rPr>
                <w:color w:val="2A2A25"/>
                <w:lang w:val="en-US" w:eastAsia="it-IT"/>
              </w:rPr>
              <w:t>Similar to scenario 3</w:t>
            </w:r>
          </w:p>
        </w:tc>
      </w:tr>
      <w:tr w:rsidR="00D66392" w:rsidTr="00804B0B">
        <w:tc>
          <w:tcPr>
            <w:tcW w:w="1934" w:type="dxa"/>
            <w:vMerge w:val="restart"/>
            <w:shd w:val="clear" w:color="auto" w:fill="E7E6E6" w:themeFill="background2"/>
          </w:tcPr>
          <w:p w:rsidR="00D66392" w:rsidRPr="00C943AD" w:rsidRDefault="00D66392" w:rsidP="00D66392">
            <w:pPr>
              <w:rPr>
                <w:b/>
                <w:color w:val="2A2A25"/>
                <w:sz w:val="24"/>
                <w:szCs w:val="24"/>
                <w:lang w:val="en-US" w:eastAsia="it-IT"/>
              </w:rPr>
            </w:pPr>
            <w:r>
              <w:rPr>
                <w:b/>
                <w:color w:val="2A2A25"/>
                <w:sz w:val="24"/>
                <w:szCs w:val="24"/>
                <w:lang w:val="en-US" w:eastAsia="it-IT"/>
              </w:rPr>
              <w:lastRenderedPageBreak/>
              <w:t>Travel advice</w:t>
            </w:r>
            <w:r>
              <w:rPr>
                <w:rStyle w:val="Funotenzeichen"/>
                <w:b/>
                <w:color w:val="2A2A25"/>
                <w:sz w:val="24"/>
                <w:szCs w:val="24"/>
                <w:lang w:val="en-US" w:eastAsia="it-IT"/>
              </w:rPr>
              <w:footnoteReference w:id="5"/>
            </w:r>
          </w:p>
        </w:tc>
        <w:tc>
          <w:tcPr>
            <w:tcW w:w="3306" w:type="dxa"/>
          </w:tcPr>
          <w:p w:rsidR="00D66392" w:rsidRPr="00636229" w:rsidRDefault="00D66392" w:rsidP="00D66392">
            <w:pPr>
              <w:pStyle w:val="Listenabsatz"/>
              <w:numPr>
                <w:ilvl w:val="0"/>
                <w:numId w:val="2"/>
              </w:numPr>
              <w:ind w:left="169" w:hanging="141"/>
              <w:rPr>
                <w:lang w:val="en-GB"/>
              </w:rPr>
            </w:pPr>
            <w:r w:rsidRPr="00D50EC7">
              <w:rPr>
                <w:color w:val="2A2A25"/>
                <w:highlight w:val="red"/>
                <w:lang w:val="en-US" w:eastAsia="it-IT"/>
              </w:rPr>
              <w:t>Advice against non-essential travel.</w:t>
            </w:r>
          </w:p>
        </w:tc>
        <w:tc>
          <w:tcPr>
            <w:tcW w:w="3686" w:type="dxa"/>
          </w:tcPr>
          <w:p w:rsidR="00D66392" w:rsidRPr="003C0E78" w:rsidRDefault="00D66392" w:rsidP="00D66392">
            <w:pPr>
              <w:ind w:left="28"/>
              <w:rPr>
                <w:lang w:val="en-US"/>
              </w:rPr>
            </w:pPr>
          </w:p>
        </w:tc>
        <w:tc>
          <w:tcPr>
            <w:tcW w:w="3686" w:type="dxa"/>
          </w:tcPr>
          <w:p w:rsidR="00D66392" w:rsidRPr="003C0E78" w:rsidRDefault="00D66392" w:rsidP="00D66392">
            <w:pPr>
              <w:ind w:left="28"/>
              <w:rPr>
                <w:lang w:val="en-US"/>
              </w:rPr>
            </w:pPr>
          </w:p>
        </w:tc>
      </w:tr>
      <w:tr w:rsidR="00D66392" w:rsidRPr="003C0E78" w:rsidTr="00804B0B">
        <w:tc>
          <w:tcPr>
            <w:tcW w:w="1934" w:type="dxa"/>
            <w:vMerge/>
            <w:shd w:val="clear" w:color="auto" w:fill="E7E6E6" w:themeFill="background2"/>
          </w:tcPr>
          <w:p w:rsidR="00D66392" w:rsidRPr="00C943AD" w:rsidRDefault="00D66392" w:rsidP="00D66392">
            <w:pPr>
              <w:rPr>
                <w:b/>
                <w:color w:val="2A2A25"/>
                <w:sz w:val="24"/>
                <w:szCs w:val="24"/>
                <w:lang w:val="en-US" w:eastAsia="it-IT"/>
              </w:rPr>
            </w:pPr>
          </w:p>
        </w:tc>
        <w:tc>
          <w:tcPr>
            <w:tcW w:w="3306" w:type="dxa"/>
          </w:tcPr>
          <w:p w:rsidR="00D66392" w:rsidRPr="00D55BAF" w:rsidRDefault="00D66392" w:rsidP="00D66392">
            <w:pPr>
              <w:pStyle w:val="Listenabsatz"/>
              <w:numPr>
                <w:ilvl w:val="0"/>
                <w:numId w:val="2"/>
              </w:numPr>
              <w:ind w:left="169" w:hanging="141"/>
              <w:rPr>
                <w:color w:val="2A2A25"/>
                <w:highlight w:val="green"/>
                <w:lang w:val="en-US" w:eastAsia="it-IT"/>
              </w:rPr>
            </w:pPr>
            <w:r w:rsidRPr="00D55BAF">
              <w:rPr>
                <w:color w:val="2A2A25"/>
                <w:highlight w:val="green"/>
                <w:lang w:val="en-US" w:eastAsia="it-IT"/>
              </w:rPr>
              <w:t>Communication material (e.g. leaflets, posters, available staff, SMS and social media) for travelers should be available at points of entry informing passengers about preventive measures, symptoms of the COVID-19 and how to respond if you fall sick when travelling</w:t>
            </w:r>
          </w:p>
          <w:p w:rsidR="00D66392" w:rsidRPr="00D55BAF" w:rsidRDefault="00D66392" w:rsidP="00D66392">
            <w:pPr>
              <w:pStyle w:val="Listenabsatz"/>
              <w:numPr>
                <w:ilvl w:val="0"/>
                <w:numId w:val="2"/>
              </w:numPr>
              <w:ind w:left="169" w:hanging="141"/>
              <w:rPr>
                <w:color w:val="2A2A25"/>
                <w:highlight w:val="red"/>
                <w:lang w:val="en-US" w:eastAsia="it-IT"/>
              </w:rPr>
            </w:pPr>
            <w:r w:rsidRPr="00D55BAF">
              <w:rPr>
                <w:color w:val="2A2A25"/>
                <w:highlight w:val="red"/>
                <w:lang w:val="en-US" w:eastAsia="it-IT"/>
              </w:rPr>
              <w:t>Consideration of exit screening at points of entry</w:t>
            </w:r>
          </w:p>
          <w:p w:rsidR="00D66392" w:rsidRPr="00BB6A7A" w:rsidRDefault="00D66392" w:rsidP="00D66392">
            <w:pPr>
              <w:rPr>
                <w:color w:val="2A2A25"/>
                <w:lang w:val="en-US" w:eastAsia="it-IT"/>
              </w:rPr>
            </w:pPr>
            <w:r>
              <w:rPr>
                <w:b/>
                <w:color w:val="2A2A25"/>
                <w:lang w:val="en-US" w:eastAsia="it-IT"/>
              </w:rPr>
              <w:t>EU Leaflet</w:t>
            </w:r>
          </w:p>
        </w:tc>
        <w:tc>
          <w:tcPr>
            <w:tcW w:w="3686" w:type="dxa"/>
          </w:tcPr>
          <w:p w:rsidR="00D66392" w:rsidRPr="00D55BAF" w:rsidRDefault="00D66392" w:rsidP="00D66392">
            <w:pPr>
              <w:pStyle w:val="Listenabsatz"/>
              <w:numPr>
                <w:ilvl w:val="0"/>
                <w:numId w:val="2"/>
              </w:numPr>
              <w:ind w:left="169" w:hanging="141"/>
              <w:rPr>
                <w:color w:val="2A2A25"/>
                <w:highlight w:val="green"/>
                <w:lang w:val="en-US" w:eastAsia="it-IT"/>
              </w:rPr>
            </w:pPr>
            <w:r w:rsidRPr="00D55BAF">
              <w:rPr>
                <w:color w:val="2A2A25"/>
                <w:highlight w:val="green"/>
                <w:lang w:val="en-US" w:eastAsia="it-IT"/>
              </w:rPr>
              <w:t>Communication material (e.g. leaflets, posters, available staff, SMS and social media) for travelers should be available at points of entry informing passengers about preventive measures, symptoms of the COVID-19 and how to respond if you fall sick when travelling</w:t>
            </w:r>
          </w:p>
          <w:p w:rsidR="00D66392" w:rsidRDefault="000E2942" w:rsidP="00D66392">
            <w:r>
              <w:t xml:space="preserve">- </w:t>
            </w:r>
            <w:r w:rsidR="00D66392" w:rsidRPr="00D55BAF">
              <w:rPr>
                <w:highlight w:val="red"/>
              </w:rPr>
              <w:t xml:space="preserve">Prohibition of organized group </w:t>
            </w:r>
            <w:r w:rsidRPr="00D55BAF">
              <w:rPr>
                <w:highlight w:val="red"/>
              </w:rPr>
              <w:t xml:space="preserve">   </w:t>
            </w:r>
            <w:r w:rsidR="00D66392" w:rsidRPr="00D55BAF">
              <w:rPr>
                <w:highlight w:val="red"/>
              </w:rPr>
              <w:t>holidays by travel companies</w:t>
            </w:r>
            <w:r w:rsidR="00D66392">
              <w:t>.</w:t>
            </w:r>
          </w:p>
          <w:p w:rsidR="00D66392" w:rsidRPr="003C0E78" w:rsidRDefault="00D66392" w:rsidP="00D66392">
            <w:r>
              <w:rPr>
                <w:b/>
                <w:color w:val="2A2A25"/>
                <w:lang w:val="en-US" w:eastAsia="it-IT"/>
              </w:rPr>
              <w:t>EU Leaflet</w:t>
            </w:r>
          </w:p>
        </w:tc>
        <w:tc>
          <w:tcPr>
            <w:tcW w:w="3686" w:type="dxa"/>
          </w:tcPr>
          <w:p w:rsidR="00D66392" w:rsidRDefault="000E2942" w:rsidP="00D66392">
            <w:pPr>
              <w:pStyle w:val="Listenabsatz"/>
              <w:numPr>
                <w:ilvl w:val="0"/>
                <w:numId w:val="2"/>
              </w:numPr>
              <w:ind w:left="169" w:hanging="141"/>
              <w:rPr>
                <w:color w:val="2A2A25"/>
                <w:lang w:val="en-US" w:eastAsia="it-IT"/>
              </w:rPr>
            </w:pPr>
            <w:r>
              <w:rPr>
                <w:color w:val="2A2A25"/>
                <w:lang w:val="en-US" w:eastAsia="it-IT"/>
              </w:rPr>
              <w:t>Similar to scenario 3</w:t>
            </w:r>
          </w:p>
        </w:tc>
      </w:tr>
      <w:tr w:rsidR="00A41C1E" w:rsidTr="00804B0B">
        <w:tc>
          <w:tcPr>
            <w:tcW w:w="1934" w:type="dxa"/>
            <w:vMerge w:val="restart"/>
            <w:shd w:val="clear" w:color="auto" w:fill="E7E6E6" w:themeFill="background2"/>
          </w:tcPr>
          <w:p w:rsidR="00A41C1E" w:rsidRPr="003C0E78" w:rsidRDefault="00A41C1E" w:rsidP="00A41C1E">
            <w:pPr>
              <w:rPr>
                <w:b/>
                <w:color w:val="2A2A25"/>
                <w:sz w:val="24"/>
                <w:szCs w:val="24"/>
                <w:lang w:eastAsia="it-IT"/>
              </w:rPr>
            </w:pPr>
            <w:r>
              <w:rPr>
                <w:b/>
                <w:color w:val="2A2A25"/>
                <w:sz w:val="24"/>
                <w:szCs w:val="24"/>
                <w:lang w:eastAsia="it-IT"/>
              </w:rPr>
              <w:t>Other measures</w:t>
            </w:r>
          </w:p>
        </w:tc>
        <w:tc>
          <w:tcPr>
            <w:tcW w:w="3306" w:type="dxa"/>
          </w:tcPr>
          <w:p w:rsidR="00A41C1E" w:rsidRPr="003C0E78" w:rsidRDefault="00A41C1E" w:rsidP="00A41C1E">
            <w:pPr>
              <w:rPr>
                <w:sz w:val="18"/>
                <w:szCs w:val="18"/>
              </w:rPr>
            </w:pPr>
          </w:p>
        </w:tc>
        <w:tc>
          <w:tcPr>
            <w:tcW w:w="3686" w:type="dxa"/>
          </w:tcPr>
          <w:p w:rsidR="00A41C1E" w:rsidRPr="003F5EE5" w:rsidRDefault="00A41C1E" w:rsidP="00A41C1E">
            <w:r w:rsidRPr="00D55BAF">
              <w:rPr>
                <w:highlight w:val="red"/>
              </w:rPr>
              <w:t>Consider ‘cordon sanitaire’</w:t>
            </w:r>
            <w:r w:rsidRPr="00D55BAF">
              <w:rPr>
                <w:rStyle w:val="Funotenzeichen"/>
                <w:highlight w:val="red"/>
              </w:rPr>
              <w:footnoteReference w:id="6"/>
            </w:r>
          </w:p>
        </w:tc>
        <w:tc>
          <w:tcPr>
            <w:tcW w:w="3686" w:type="dxa"/>
          </w:tcPr>
          <w:p w:rsidR="00A41C1E" w:rsidRPr="003F5EE5" w:rsidRDefault="00A41C1E" w:rsidP="00A41C1E">
            <w:r w:rsidRPr="00D55BAF">
              <w:rPr>
                <w:rFonts w:eastAsia="Times New Roman"/>
                <w:highlight w:val="red"/>
              </w:rPr>
              <w:t xml:space="preserve">Any possible measure to safeguard </w:t>
            </w:r>
            <w:r w:rsidRPr="00D55BAF">
              <w:rPr>
                <w:rFonts w:eastAsia="Times New Roman"/>
                <w:highlight w:val="red"/>
              </w:rPr>
              <w:lastRenderedPageBreak/>
              <w:t>functioning of healthcare system and</w:t>
            </w:r>
            <w:r>
              <w:rPr>
                <w:rFonts w:eastAsia="Times New Roman"/>
              </w:rPr>
              <w:t xml:space="preserve"> </w:t>
            </w:r>
          </w:p>
        </w:tc>
      </w:tr>
      <w:tr w:rsidR="00A41C1E" w:rsidTr="00804B0B">
        <w:tc>
          <w:tcPr>
            <w:tcW w:w="1934" w:type="dxa"/>
            <w:vMerge/>
            <w:shd w:val="clear" w:color="auto" w:fill="E7E6E6" w:themeFill="background2"/>
          </w:tcPr>
          <w:p w:rsidR="00A41C1E" w:rsidRDefault="00A41C1E" w:rsidP="00A41C1E">
            <w:pPr>
              <w:rPr>
                <w:b/>
                <w:color w:val="2A2A25"/>
                <w:sz w:val="24"/>
                <w:szCs w:val="24"/>
                <w:lang w:eastAsia="it-IT"/>
              </w:rPr>
            </w:pPr>
          </w:p>
        </w:tc>
        <w:tc>
          <w:tcPr>
            <w:tcW w:w="3306" w:type="dxa"/>
          </w:tcPr>
          <w:p w:rsidR="00A41C1E" w:rsidRPr="003C0E78" w:rsidRDefault="00A41C1E" w:rsidP="00A41C1E">
            <w:pPr>
              <w:rPr>
                <w:sz w:val="18"/>
                <w:szCs w:val="18"/>
              </w:rPr>
            </w:pPr>
          </w:p>
        </w:tc>
        <w:tc>
          <w:tcPr>
            <w:tcW w:w="3686" w:type="dxa"/>
          </w:tcPr>
          <w:p w:rsidR="00A41C1E" w:rsidRDefault="00A41C1E" w:rsidP="00A41C1E"/>
        </w:tc>
        <w:tc>
          <w:tcPr>
            <w:tcW w:w="3686" w:type="dxa"/>
          </w:tcPr>
          <w:p w:rsidR="00A41C1E" w:rsidRPr="003F5EE5" w:rsidRDefault="00A41C1E" w:rsidP="00A41C1E">
            <w:r w:rsidRPr="00D55BAF">
              <w:rPr>
                <w:rFonts w:eastAsia="Times New Roman"/>
                <w:highlight w:val="red"/>
              </w:rPr>
              <w:t>Measures dignified burial/ funeral services.</w:t>
            </w:r>
          </w:p>
        </w:tc>
      </w:tr>
    </w:tbl>
    <w:p w:rsidR="00BB6A7A" w:rsidRPr="00636229" w:rsidRDefault="00BB6A7A"/>
    <w:p w:rsidR="003F36E2" w:rsidRPr="00C943AD" w:rsidRDefault="003F36E2" w:rsidP="003F36E2">
      <w:pPr>
        <w:jc w:val="both"/>
        <w:rPr>
          <w:rFonts w:ascii="Arial" w:hAnsi="Arial" w:cs="Arial"/>
          <w:sz w:val="20"/>
          <w:szCs w:val="20"/>
        </w:rPr>
      </w:pPr>
      <w:r w:rsidRPr="00C943AD">
        <w:rPr>
          <w:rFonts w:ascii="Arial" w:hAnsi="Arial" w:cs="Arial"/>
          <w:b/>
        </w:rPr>
        <w:t>Scenario 2</w:t>
      </w:r>
      <w:r w:rsidRPr="00C943AD">
        <w:rPr>
          <w:rFonts w:ascii="Arial" w:hAnsi="Arial" w:cs="Arial"/>
          <w:sz w:val="23"/>
          <w:szCs w:val="23"/>
        </w:rPr>
        <w:t xml:space="preserve"> describes a situation with increasing number of introductions and of more widespread reports of localised human-to-human transmission in the country (more than two generations of cases outside of sporadic clusters with known epidemiological links). In this situation, the objective remains to contain where practicable and otherwise slow down the transmission of the infection. This will increase the time available for development, production and distribution of PPE and effective therapeutic options, and would play a crucial role in reducing the burden on the healthcare system and other sectors, particularly if wider transmission of COVID-19 is delayed beyond the ongoing influenza season. A reduced burden would also allow for more time to increase laboratory capacity, and increase surge capacity in healthcare services. All these measures will facilitate effective treatment of infected patients. Rapid collection and analysis of epidemiological and </w:t>
      </w:r>
      <w:proofErr w:type="spellStart"/>
      <w:r w:rsidRPr="00C943AD">
        <w:rPr>
          <w:rFonts w:ascii="Arial" w:hAnsi="Arial" w:cs="Arial"/>
          <w:sz w:val="23"/>
          <w:szCs w:val="23"/>
        </w:rPr>
        <w:t>virological</w:t>
      </w:r>
      <w:proofErr w:type="spellEnd"/>
      <w:r w:rsidRPr="00C943AD">
        <w:rPr>
          <w:rFonts w:ascii="Arial" w:hAnsi="Arial" w:cs="Arial"/>
          <w:sz w:val="23"/>
          <w:szCs w:val="23"/>
        </w:rPr>
        <w:t xml:space="preserve"> data will enable targeting of measures in this scenario and later. Within EU/EEA countries, Italy is currently in this scenario. Other countries in the EU/EEA might also be in this scenario, which may have undetected transmission ongoing due to lower level of case detection</w:t>
      </w:r>
      <w:r w:rsidRPr="00C943AD">
        <w:rPr>
          <w:rFonts w:ascii="Arial" w:hAnsi="Arial" w:cs="Arial"/>
          <w:sz w:val="20"/>
          <w:szCs w:val="20"/>
        </w:rPr>
        <w:t>.</w:t>
      </w:r>
    </w:p>
    <w:p w:rsidR="003F36E2" w:rsidRDefault="003F36E2" w:rsidP="003F36E2">
      <w:pPr>
        <w:jc w:val="both"/>
        <w:rPr>
          <w:rFonts w:ascii="Arial" w:hAnsi="Arial" w:cs="Arial"/>
          <w:sz w:val="23"/>
          <w:szCs w:val="23"/>
        </w:rPr>
      </w:pPr>
      <w:r w:rsidRPr="00C943AD">
        <w:rPr>
          <w:rFonts w:ascii="Arial" w:hAnsi="Arial" w:cs="Arial"/>
          <w:b/>
        </w:rPr>
        <w:t>Scenario 3</w:t>
      </w:r>
      <w:r w:rsidRPr="00C943AD">
        <w:rPr>
          <w:rFonts w:ascii="Arial" w:hAnsi="Arial" w:cs="Arial"/>
        </w:rPr>
        <w:t xml:space="preserve"> </w:t>
      </w:r>
      <w:r w:rsidRPr="00C943AD">
        <w:rPr>
          <w:rFonts w:ascii="Arial" w:hAnsi="Arial" w:cs="Arial"/>
          <w:sz w:val="23"/>
          <w:szCs w:val="23"/>
        </w:rPr>
        <w:t>describes a situation with localised outbreaks, which start to merge becoming indistinct. In this scenario, there is sustained human-to-human transmission in the country (more than two generations of cases outside of sporadic clusters with known epidemiological links) and an increasing pressure on healthcare systems.</w:t>
      </w:r>
      <w:r>
        <w:rPr>
          <w:rFonts w:ascii="Arial" w:hAnsi="Arial" w:cs="Arial"/>
          <w:sz w:val="23"/>
          <w:szCs w:val="23"/>
        </w:rPr>
        <w:t xml:space="preserve"> </w:t>
      </w:r>
      <w:r w:rsidRPr="00C943AD">
        <w:rPr>
          <w:rFonts w:ascii="Arial" w:hAnsi="Arial" w:cs="Arial"/>
          <w:sz w:val="23"/>
          <w:szCs w:val="23"/>
        </w:rPr>
        <w:t>The objective at this stage is to mitigate the impact of the outbreak by decreasing the burden on healthcare systems and protect populations at risk of severe disease. At the same time, operational research should guide developing better and more efficient diagnostic and treatment options</w:t>
      </w:r>
      <w:r w:rsidR="00D66392">
        <w:rPr>
          <w:rFonts w:ascii="Arial" w:hAnsi="Arial" w:cs="Arial"/>
          <w:sz w:val="23"/>
          <w:szCs w:val="23"/>
        </w:rPr>
        <w:t>.</w:t>
      </w:r>
    </w:p>
    <w:p w:rsidR="003F36E2" w:rsidRPr="00C943AD" w:rsidRDefault="00D66392" w:rsidP="00C943AD">
      <w:pPr>
        <w:jc w:val="both"/>
        <w:rPr>
          <w:lang w:val="en-US"/>
        </w:rPr>
      </w:pPr>
      <w:r w:rsidRPr="00D66392">
        <w:rPr>
          <w:rFonts w:ascii="Arial" w:hAnsi="Arial" w:cs="Arial"/>
          <w:b/>
        </w:rPr>
        <w:t>Scenario 4</w:t>
      </w:r>
      <w:r>
        <w:rPr>
          <w:rFonts w:ascii="Arial" w:hAnsi="Arial" w:cs="Arial"/>
        </w:rPr>
        <w:t xml:space="preserve"> </w:t>
      </w:r>
      <w:r>
        <w:rPr>
          <w:rFonts w:ascii="Arial" w:hAnsi="Arial" w:cs="Arial"/>
          <w:sz w:val="23"/>
          <w:szCs w:val="23"/>
        </w:rPr>
        <w:t>describes a situation with widespread sustained transmission where healthcare systems are over</w:t>
      </w:r>
      <w:r>
        <w:rPr>
          <w:rFonts w:ascii="Arial" w:hAnsi="Arial" w:cs="Arial"/>
        </w:rPr>
        <w:t>-</w:t>
      </w:r>
      <w:r>
        <w:rPr>
          <w:rFonts w:ascii="Arial" w:hAnsi="Arial" w:cs="Arial"/>
          <w:sz w:val="23"/>
          <w:szCs w:val="23"/>
        </w:rPr>
        <w:t>burdened due to a large demand for emergency healthcare services, a strained ICU capacity, overworked healthcare workers and reduced staff availability due to illness, lack of PPE and lack of diagnostic testing capacity. The objective at this stage is still to mitigate the impact of the outbreak, decrease the burden on healthcare services, protect populations at risk of severe disease and reduce excess mortality.</w:t>
      </w:r>
    </w:p>
    <w:sectPr w:rsidR="003F36E2" w:rsidRPr="00C943AD" w:rsidSect="003C0E78">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1E" w:rsidRDefault="00F27B1E" w:rsidP="00C943AD">
      <w:pPr>
        <w:spacing w:after="0" w:line="240" w:lineRule="auto"/>
      </w:pPr>
      <w:r>
        <w:separator/>
      </w:r>
    </w:p>
  </w:endnote>
  <w:endnote w:type="continuationSeparator" w:id="0">
    <w:p w:rsidR="00F27B1E" w:rsidRDefault="00F27B1E" w:rsidP="00C9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C2" w:rsidRDefault="00F554C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C2" w:rsidRDefault="00F554C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C2" w:rsidRDefault="00F554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1E" w:rsidRDefault="00F27B1E" w:rsidP="00C943AD">
      <w:pPr>
        <w:spacing w:after="0" w:line="240" w:lineRule="auto"/>
      </w:pPr>
      <w:r>
        <w:separator/>
      </w:r>
    </w:p>
  </w:footnote>
  <w:footnote w:type="continuationSeparator" w:id="0">
    <w:p w:rsidR="00F27B1E" w:rsidRDefault="00F27B1E" w:rsidP="00C943AD">
      <w:pPr>
        <w:spacing w:after="0" w:line="240" w:lineRule="auto"/>
      </w:pPr>
      <w:r>
        <w:continuationSeparator/>
      </w:r>
    </w:p>
  </w:footnote>
  <w:footnote w:id="1">
    <w:p w:rsidR="00C943AD" w:rsidRDefault="00C943AD">
      <w:pPr>
        <w:pStyle w:val="Funotentext"/>
      </w:pPr>
      <w:r>
        <w:rPr>
          <w:rStyle w:val="Funotenzeichen"/>
        </w:rPr>
        <w:footnoteRef/>
      </w:r>
      <w:r>
        <w:t xml:space="preserve"> </w:t>
      </w:r>
      <w:hyperlink r:id="rId1" w:history="1">
        <w:r w:rsidR="00F554C2" w:rsidRPr="007A6FCC">
          <w:rPr>
            <w:rStyle w:val="Hyperlink"/>
          </w:rPr>
          <w:t>https://www.ecdc.europa.eu/en/publications-data/rapid-risk-assessment-novel-coronavirus-disease-2019-covid-19-pandemic-increased</w:t>
        </w:r>
      </w:hyperlink>
    </w:p>
    <w:p w:rsidR="00F554C2" w:rsidRDefault="00787643">
      <w:pPr>
        <w:pStyle w:val="Funotentext"/>
      </w:pPr>
      <w:hyperlink r:id="rId2" w:history="1">
        <w:r w:rsidR="00F554C2" w:rsidRPr="007A6FCC">
          <w:rPr>
            <w:rStyle w:val="Hyperlink"/>
          </w:rPr>
          <w:t>https://www.ecdc.europa.eu/sites/default/files/documents/social-distancing-measures-in-response-to-the-COVID-19-epidemic.pdf</w:t>
        </w:r>
      </w:hyperlink>
    </w:p>
  </w:footnote>
  <w:footnote w:id="2">
    <w:p w:rsidR="00D66392" w:rsidRDefault="00D66392">
      <w:pPr>
        <w:pStyle w:val="Funotentext"/>
        <w:rPr>
          <w:szCs w:val="22"/>
        </w:rPr>
      </w:pPr>
      <w:r>
        <w:rPr>
          <w:rStyle w:val="Funotenzeichen"/>
        </w:rPr>
        <w:footnoteRef/>
      </w:r>
      <w:r>
        <w:t xml:space="preserve"> </w:t>
      </w:r>
      <w:r w:rsidRPr="00825CBE">
        <w:rPr>
          <w:szCs w:val="22"/>
        </w:rPr>
        <w:t xml:space="preserve">Individual social distancing measures (e.g. avoiding shaking hands and </w:t>
      </w:r>
      <w:proofErr w:type="gramStart"/>
      <w:r w:rsidRPr="00825CBE">
        <w:rPr>
          <w:szCs w:val="22"/>
        </w:rPr>
        <w:t>kissing,</w:t>
      </w:r>
      <w:proofErr w:type="gramEnd"/>
      <w:r w:rsidRPr="00825CBE">
        <w:rPr>
          <w:szCs w:val="22"/>
        </w:rPr>
        <w:t xml:space="preserve"> and avoiding crowded transports and non-essential meetings and mass gatherings) should be recommended at organisational, national and EU levels as a preventive measure.</w:t>
      </w:r>
    </w:p>
    <w:p w:rsidR="00D66392" w:rsidRDefault="00D66392">
      <w:pPr>
        <w:pStyle w:val="Funotentext"/>
      </w:pPr>
      <w:r w:rsidRPr="00D66392">
        <w:t>Self-isolation of close contacts is relevant in scenarios 1 and 2, whereas during the scenarios 3 and 4 self-isolation of symptomatic persons may be considered to reduce local transmission</w:t>
      </w:r>
      <w:r>
        <w:t>.</w:t>
      </w:r>
    </w:p>
  </w:footnote>
  <w:footnote w:id="3">
    <w:p w:rsidR="00D66392" w:rsidRPr="00586D0F" w:rsidRDefault="00D66392" w:rsidP="0080001F">
      <w:pPr>
        <w:pStyle w:val="Default"/>
        <w:jc w:val="both"/>
        <w:rPr>
          <w:rFonts w:asciiTheme="minorHAnsi" w:hAnsiTheme="minorHAnsi" w:cstheme="minorBidi"/>
          <w:color w:val="auto"/>
          <w:sz w:val="22"/>
          <w:szCs w:val="22"/>
          <w:lang w:val="en-GB"/>
        </w:rPr>
      </w:pPr>
      <w:r>
        <w:rPr>
          <w:rStyle w:val="Funotenzeichen"/>
        </w:rPr>
        <w:footnoteRef/>
      </w:r>
      <w:r w:rsidRPr="003C0E78">
        <w:rPr>
          <w:lang w:val="en-GB"/>
        </w:rPr>
        <w:t xml:space="preserve"> </w:t>
      </w:r>
      <w:r w:rsidRPr="00586D0F">
        <w:rPr>
          <w:rFonts w:asciiTheme="minorHAnsi" w:hAnsiTheme="minorHAnsi" w:cstheme="minorBidi"/>
          <w:color w:val="auto"/>
          <w:sz w:val="22"/>
          <w:szCs w:val="22"/>
          <w:lang w:val="en-GB"/>
        </w:rPr>
        <w:t xml:space="preserve">Covering the mouth and nose when coughing and sneezing (e.g. by using a paper tissue, and sneezing or coughing into the elbow) may mechanically block the droplet transmission that is believed to be the principal transmission mode for COVID-19. The proper disposal of used tissues is important, followed by immediate hand washing after coughing/sneezing. </w:t>
      </w:r>
    </w:p>
    <w:p w:rsidR="00D66392" w:rsidRPr="00D66392" w:rsidRDefault="00D66392" w:rsidP="003C0E78">
      <w:pPr>
        <w:pStyle w:val="Default"/>
        <w:jc w:val="both"/>
        <w:rPr>
          <w:lang w:val="en-GB"/>
        </w:rPr>
      </w:pPr>
      <w:r w:rsidRPr="00586D0F">
        <w:rPr>
          <w:rFonts w:asciiTheme="minorHAnsi" w:hAnsiTheme="minorHAnsi" w:cstheme="minorBidi"/>
          <w:color w:val="auto"/>
          <w:sz w:val="22"/>
          <w:szCs w:val="22"/>
          <w:lang w:val="en-GB"/>
        </w:rPr>
        <w:t xml:space="preserve">The use of surgical face masks decreases the risk of infecting others when worn by a person with respiratory symptoms before seeking medical advice and while being assessed. There is no evidence on the usefulness of face masks worn by persons who are not ill, therefore this is not advisable </w:t>
      </w:r>
    </w:p>
  </w:footnote>
  <w:footnote w:id="4">
    <w:p w:rsidR="00D66392" w:rsidRDefault="00D66392">
      <w:pPr>
        <w:pStyle w:val="Funotentext"/>
      </w:pPr>
      <w:r>
        <w:rPr>
          <w:rStyle w:val="Funotenzeichen"/>
        </w:rPr>
        <w:footnoteRef/>
      </w:r>
      <w:r>
        <w:t xml:space="preserve"> </w:t>
      </w:r>
      <w:r w:rsidRPr="00586D0F">
        <w:t>https://www.ecdc.europa.eu/sites/default/files/documents/covid19-leaflet-public-travellers-EC-en.pdf</w:t>
      </w:r>
    </w:p>
  </w:footnote>
  <w:footnote w:id="5">
    <w:p w:rsidR="00D66392" w:rsidRDefault="00D66392">
      <w:pPr>
        <w:pStyle w:val="Funotentext"/>
      </w:pPr>
      <w:r>
        <w:rPr>
          <w:rStyle w:val="Funotenzeichen"/>
        </w:rPr>
        <w:footnoteRef/>
      </w:r>
      <w:r>
        <w:t xml:space="preserve"> </w:t>
      </w:r>
      <w:r>
        <w:rPr>
          <w:sz w:val="18"/>
          <w:szCs w:val="18"/>
        </w:rPr>
        <w:t>When travelling it is best to avoid contact with sick persons, in particular those with respiratory symptoms and fever. Travellers should also practice good hand hygiene. Travellers who develop acute respiratory symptoms within 14 days of returning from areas with ongoing local transmission should be advised to seek immediate medical attention, ideally by phone first, and indicate their travel history to the healthcare specialist</w:t>
      </w:r>
    </w:p>
  </w:footnote>
  <w:footnote w:id="6">
    <w:p w:rsidR="00A41C1E" w:rsidRDefault="00A41C1E">
      <w:pPr>
        <w:pStyle w:val="Funotentext"/>
      </w:pPr>
      <w:r>
        <w:rPr>
          <w:rStyle w:val="Funotenzeichen"/>
        </w:rPr>
        <w:footnoteRef/>
      </w:r>
      <w:r>
        <w:t xml:space="preserve"> </w:t>
      </w:r>
      <w:r w:rsidRPr="003F5EE5">
        <w:t>China, Italy and some other countries have used area quarantines, or so called ‘cordon sanitaire’ in addition to other measures on large cities, with the apparent effect on delaying the spread of this disease in China. There is little evidence suggest that such measures would work against respiratory virus epidemics, unless implemented with such a rigour that there is absolutely no movement across the ‘cordon’ and there is very low prior transmission outside the ‘cordon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C2" w:rsidRDefault="00F554C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544154"/>
      <w:docPartObj>
        <w:docPartGallery w:val="Watermarks"/>
        <w:docPartUnique/>
      </w:docPartObj>
    </w:sdtPr>
    <w:sdtEndPr/>
    <w:sdtContent>
      <w:p w:rsidR="00F554C2" w:rsidRDefault="00787643">
        <w:pPr>
          <w:pStyle w:val="Kopfzeile"/>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C2" w:rsidRDefault="00F554C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721AD"/>
    <w:multiLevelType w:val="hybridMultilevel"/>
    <w:tmpl w:val="4C88832E"/>
    <w:lvl w:ilvl="0" w:tplc="4FF60D3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1D329BC"/>
    <w:multiLevelType w:val="hybridMultilevel"/>
    <w:tmpl w:val="86169E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7A"/>
    <w:rsid w:val="00091917"/>
    <w:rsid w:val="000930C3"/>
    <w:rsid w:val="000E2942"/>
    <w:rsid w:val="00131542"/>
    <w:rsid w:val="00145A83"/>
    <w:rsid w:val="00161481"/>
    <w:rsid w:val="001C0B88"/>
    <w:rsid w:val="00206AAC"/>
    <w:rsid w:val="0035362B"/>
    <w:rsid w:val="003C0E78"/>
    <w:rsid w:val="003F36E2"/>
    <w:rsid w:val="003F5EE5"/>
    <w:rsid w:val="00527B98"/>
    <w:rsid w:val="00533B2D"/>
    <w:rsid w:val="0054149F"/>
    <w:rsid w:val="00580E65"/>
    <w:rsid w:val="00586D0F"/>
    <w:rsid w:val="005E4227"/>
    <w:rsid w:val="00636229"/>
    <w:rsid w:val="006C1442"/>
    <w:rsid w:val="00787643"/>
    <w:rsid w:val="00787FD2"/>
    <w:rsid w:val="007F376B"/>
    <w:rsid w:val="0080001F"/>
    <w:rsid w:val="00825CBE"/>
    <w:rsid w:val="00850764"/>
    <w:rsid w:val="008D22F1"/>
    <w:rsid w:val="00925BB4"/>
    <w:rsid w:val="00943B39"/>
    <w:rsid w:val="009A05CA"/>
    <w:rsid w:val="00A0414F"/>
    <w:rsid w:val="00A41C1E"/>
    <w:rsid w:val="00A74509"/>
    <w:rsid w:val="00A848D9"/>
    <w:rsid w:val="00B159C5"/>
    <w:rsid w:val="00BB6A7A"/>
    <w:rsid w:val="00BC6AC4"/>
    <w:rsid w:val="00C60328"/>
    <w:rsid w:val="00C62C38"/>
    <w:rsid w:val="00C66B82"/>
    <w:rsid w:val="00C943AD"/>
    <w:rsid w:val="00CC0481"/>
    <w:rsid w:val="00D03F6B"/>
    <w:rsid w:val="00D47D0D"/>
    <w:rsid w:val="00D50EC7"/>
    <w:rsid w:val="00D55BAF"/>
    <w:rsid w:val="00D66392"/>
    <w:rsid w:val="00DA0634"/>
    <w:rsid w:val="00E218B6"/>
    <w:rsid w:val="00E75B0A"/>
    <w:rsid w:val="00F27B1E"/>
    <w:rsid w:val="00F47B4C"/>
    <w:rsid w:val="00F5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B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6A7A"/>
    <w:pPr>
      <w:spacing w:after="0" w:line="240" w:lineRule="auto"/>
      <w:ind w:left="720"/>
    </w:pPr>
    <w:rPr>
      <w:rFonts w:ascii="Calibri" w:hAnsi="Calibri" w:cs="Calibri"/>
      <w:lang w:val="fr-BE"/>
    </w:rPr>
  </w:style>
  <w:style w:type="paragraph" w:styleId="Funotentext">
    <w:name w:val="footnote text"/>
    <w:basedOn w:val="Standard"/>
    <w:link w:val="FunotentextZchn"/>
    <w:uiPriority w:val="99"/>
    <w:semiHidden/>
    <w:unhideWhenUsed/>
    <w:rsid w:val="00C943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943AD"/>
    <w:rPr>
      <w:sz w:val="20"/>
      <w:szCs w:val="20"/>
    </w:rPr>
  </w:style>
  <w:style w:type="character" w:styleId="Funotenzeichen">
    <w:name w:val="footnote reference"/>
    <w:basedOn w:val="Absatz-Standardschriftart"/>
    <w:uiPriority w:val="99"/>
    <w:semiHidden/>
    <w:unhideWhenUsed/>
    <w:rsid w:val="00C943AD"/>
    <w:rPr>
      <w:vertAlign w:val="superscript"/>
    </w:rPr>
  </w:style>
  <w:style w:type="character" w:styleId="Kommentarzeichen">
    <w:name w:val="annotation reference"/>
    <w:basedOn w:val="Absatz-Standardschriftart"/>
    <w:uiPriority w:val="99"/>
    <w:semiHidden/>
    <w:unhideWhenUsed/>
    <w:rsid w:val="00C943AD"/>
    <w:rPr>
      <w:sz w:val="16"/>
      <w:szCs w:val="16"/>
    </w:rPr>
  </w:style>
  <w:style w:type="paragraph" w:styleId="Kommentartext">
    <w:name w:val="annotation text"/>
    <w:basedOn w:val="Standard"/>
    <w:link w:val="KommentartextZchn"/>
    <w:uiPriority w:val="99"/>
    <w:unhideWhenUsed/>
    <w:rsid w:val="00C943AD"/>
    <w:pPr>
      <w:spacing w:line="240" w:lineRule="auto"/>
    </w:pPr>
    <w:rPr>
      <w:sz w:val="20"/>
      <w:szCs w:val="20"/>
    </w:rPr>
  </w:style>
  <w:style w:type="character" w:customStyle="1" w:styleId="KommentartextZchn">
    <w:name w:val="Kommentartext Zchn"/>
    <w:basedOn w:val="Absatz-Standardschriftart"/>
    <w:link w:val="Kommentartext"/>
    <w:uiPriority w:val="99"/>
    <w:rsid w:val="00C943AD"/>
    <w:rPr>
      <w:sz w:val="20"/>
      <w:szCs w:val="20"/>
    </w:rPr>
  </w:style>
  <w:style w:type="paragraph" w:styleId="Kommentarthema">
    <w:name w:val="annotation subject"/>
    <w:basedOn w:val="Kommentartext"/>
    <w:next w:val="Kommentartext"/>
    <w:link w:val="KommentarthemaZchn"/>
    <w:uiPriority w:val="99"/>
    <w:semiHidden/>
    <w:unhideWhenUsed/>
    <w:rsid w:val="00C943AD"/>
    <w:rPr>
      <w:b/>
      <w:bCs/>
    </w:rPr>
  </w:style>
  <w:style w:type="character" w:customStyle="1" w:styleId="KommentarthemaZchn">
    <w:name w:val="Kommentarthema Zchn"/>
    <w:basedOn w:val="KommentartextZchn"/>
    <w:link w:val="Kommentarthema"/>
    <w:uiPriority w:val="99"/>
    <w:semiHidden/>
    <w:rsid w:val="00C943AD"/>
    <w:rPr>
      <w:b/>
      <w:bCs/>
      <w:sz w:val="20"/>
      <w:szCs w:val="20"/>
    </w:rPr>
  </w:style>
  <w:style w:type="paragraph" w:styleId="Sprechblasentext">
    <w:name w:val="Balloon Text"/>
    <w:basedOn w:val="Standard"/>
    <w:link w:val="SprechblasentextZchn"/>
    <w:uiPriority w:val="99"/>
    <w:semiHidden/>
    <w:unhideWhenUsed/>
    <w:rsid w:val="00C943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43AD"/>
    <w:rPr>
      <w:rFonts w:ascii="Segoe UI" w:hAnsi="Segoe UI" w:cs="Segoe UI"/>
      <w:sz w:val="18"/>
      <w:szCs w:val="18"/>
    </w:rPr>
  </w:style>
  <w:style w:type="paragraph" w:customStyle="1" w:styleId="Default">
    <w:name w:val="Default"/>
    <w:rsid w:val="00925BB4"/>
    <w:pPr>
      <w:autoSpaceDE w:val="0"/>
      <w:autoSpaceDN w:val="0"/>
      <w:adjustRightInd w:val="0"/>
      <w:spacing w:after="0" w:line="240" w:lineRule="auto"/>
    </w:pPr>
    <w:rPr>
      <w:rFonts w:ascii="Tahoma" w:hAnsi="Tahoma" w:cs="Tahoma"/>
      <w:color w:val="000000"/>
      <w:sz w:val="24"/>
      <w:szCs w:val="24"/>
      <w:lang w:val="fr-BE"/>
    </w:rPr>
  </w:style>
  <w:style w:type="character" w:customStyle="1" w:styleId="highlight">
    <w:name w:val="highlight"/>
    <w:basedOn w:val="Absatz-Standardschriftart"/>
    <w:rsid w:val="00D66392"/>
  </w:style>
  <w:style w:type="character" w:styleId="Hyperlink">
    <w:name w:val="Hyperlink"/>
    <w:basedOn w:val="Absatz-Standardschriftart"/>
    <w:uiPriority w:val="99"/>
    <w:unhideWhenUsed/>
    <w:rsid w:val="00F554C2"/>
    <w:rPr>
      <w:color w:val="0563C1" w:themeColor="hyperlink"/>
      <w:u w:val="single"/>
    </w:rPr>
  </w:style>
  <w:style w:type="paragraph" w:styleId="Kopfzeile">
    <w:name w:val="header"/>
    <w:basedOn w:val="Standard"/>
    <w:link w:val="KopfzeileZchn"/>
    <w:uiPriority w:val="99"/>
    <w:unhideWhenUsed/>
    <w:rsid w:val="00F554C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554C2"/>
  </w:style>
  <w:style w:type="paragraph" w:styleId="Fuzeile">
    <w:name w:val="footer"/>
    <w:basedOn w:val="Standard"/>
    <w:link w:val="FuzeileZchn"/>
    <w:uiPriority w:val="99"/>
    <w:unhideWhenUsed/>
    <w:rsid w:val="00F554C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55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B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6A7A"/>
    <w:pPr>
      <w:spacing w:after="0" w:line="240" w:lineRule="auto"/>
      <w:ind w:left="720"/>
    </w:pPr>
    <w:rPr>
      <w:rFonts w:ascii="Calibri" w:hAnsi="Calibri" w:cs="Calibri"/>
      <w:lang w:val="fr-BE"/>
    </w:rPr>
  </w:style>
  <w:style w:type="paragraph" w:styleId="Funotentext">
    <w:name w:val="footnote text"/>
    <w:basedOn w:val="Standard"/>
    <w:link w:val="FunotentextZchn"/>
    <w:uiPriority w:val="99"/>
    <w:semiHidden/>
    <w:unhideWhenUsed/>
    <w:rsid w:val="00C943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943AD"/>
    <w:rPr>
      <w:sz w:val="20"/>
      <w:szCs w:val="20"/>
    </w:rPr>
  </w:style>
  <w:style w:type="character" w:styleId="Funotenzeichen">
    <w:name w:val="footnote reference"/>
    <w:basedOn w:val="Absatz-Standardschriftart"/>
    <w:uiPriority w:val="99"/>
    <w:semiHidden/>
    <w:unhideWhenUsed/>
    <w:rsid w:val="00C943AD"/>
    <w:rPr>
      <w:vertAlign w:val="superscript"/>
    </w:rPr>
  </w:style>
  <w:style w:type="character" w:styleId="Kommentarzeichen">
    <w:name w:val="annotation reference"/>
    <w:basedOn w:val="Absatz-Standardschriftart"/>
    <w:uiPriority w:val="99"/>
    <w:semiHidden/>
    <w:unhideWhenUsed/>
    <w:rsid w:val="00C943AD"/>
    <w:rPr>
      <w:sz w:val="16"/>
      <w:szCs w:val="16"/>
    </w:rPr>
  </w:style>
  <w:style w:type="paragraph" w:styleId="Kommentartext">
    <w:name w:val="annotation text"/>
    <w:basedOn w:val="Standard"/>
    <w:link w:val="KommentartextZchn"/>
    <w:uiPriority w:val="99"/>
    <w:unhideWhenUsed/>
    <w:rsid w:val="00C943AD"/>
    <w:pPr>
      <w:spacing w:line="240" w:lineRule="auto"/>
    </w:pPr>
    <w:rPr>
      <w:sz w:val="20"/>
      <w:szCs w:val="20"/>
    </w:rPr>
  </w:style>
  <w:style w:type="character" w:customStyle="1" w:styleId="KommentartextZchn">
    <w:name w:val="Kommentartext Zchn"/>
    <w:basedOn w:val="Absatz-Standardschriftart"/>
    <w:link w:val="Kommentartext"/>
    <w:uiPriority w:val="99"/>
    <w:rsid w:val="00C943AD"/>
    <w:rPr>
      <w:sz w:val="20"/>
      <w:szCs w:val="20"/>
    </w:rPr>
  </w:style>
  <w:style w:type="paragraph" w:styleId="Kommentarthema">
    <w:name w:val="annotation subject"/>
    <w:basedOn w:val="Kommentartext"/>
    <w:next w:val="Kommentartext"/>
    <w:link w:val="KommentarthemaZchn"/>
    <w:uiPriority w:val="99"/>
    <w:semiHidden/>
    <w:unhideWhenUsed/>
    <w:rsid w:val="00C943AD"/>
    <w:rPr>
      <w:b/>
      <w:bCs/>
    </w:rPr>
  </w:style>
  <w:style w:type="character" w:customStyle="1" w:styleId="KommentarthemaZchn">
    <w:name w:val="Kommentarthema Zchn"/>
    <w:basedOn w:val="KommentartextZchn"/>
    <w:link w:val="Kommentarthema"/>
    <w:uiPriority w:val="99"/>
    <w:semiHidden/>
    <w:rsid w:val="00C943AD"/>
    <w:rPr>
      <w:b/>
      <w:bCs/>
      <w:sz w:val="20"/>
      <w:szCs w:val="20"/>
    </w:rPr>
  </w:style>
  <w:style w:type="paragraph" w:styleId="Sprechblasentext">
    <w:name w:val="Balloon Text"/>
    <w:basedOn w:val="Standard"/>
    <w:link w:val="SprechblasentextZchn"/>
    <w:uiPriority w:val="99"/>
    <w:semiHidden/>
    <w:unhideWhenUsed/>
    <w:rsid w:val="00C943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43AD"/>
    <w:rPr>
      <w:rFonts w:ascii="Segoe UI" w:hAnsi="Segoe UI" w:cs="Segoe UI"/>
      <w:sz w:val="18"/>
      <w:szCs w:val="18"/>
    </w:rPr>
  </w:style>
  <w:style w:type="paragraph" w:customStyle="1" w:styleId="Default">
    <w:name w:val="Default"/>
    <w:rsid w:val="00925BB4"/>
    <w:pPr>
      <w:autoSpaceDE w:val="0"/>
      <w:autoSpaceDN w:val="0"/>
      <w:adjustRightInd w:val="0"/>
      <w:spacing w:after="0" w:line="240" w:lineRule="auto"/>
    </w:pPr>
    <w:rPr>
      <w:rFonts w:ascii="Tahoma" w:hAnsi="Tahoma" w:cs="Tahoma"/>
      <w:color w:val="000000"/>
      <w:sz w:val="24"/>
      <w:szCs w:val="24"/>
      <w:lang w:val="fr-BE"/>
    </w:rPr>
  </w:style>
  <w:style w:type="character" w:customStyle="1" w:styleId="highlight">
    <w:name w:val="highlight"/>
    <w:basedOn w:val="Absatz-Standardschriftart"/>
    <w:rsid w:val="00D66392"/>
  </w:style>
  <w:style w:type="character" w:styleId="Hyperlink">
    <w:name w:val="Hyperlink"/>
    <w:basedOn w:val="Absatz-Standardschriftart"/>
    <w:uiPriority w:val="99"/>
    <w:unhideWhenUsed/>
    <w:rsid w:val="00F554C2"/>
    <w:rPr>
      <w:color w:val="0563C1" w:themeColor="hyperlink"/>
      <w:u w:val="single"/>
    </w:rPr>
  </w:style>
  <w:style w:type="paragraph" w:styleId="Kopfzeile">
    <w:name w:val="header"/>
    <w:basedOn w:val="Standard"/>
    <w:link w:val="KopfzeileZchn"/>
    <w:uiPriority w:val="99"/>
    <w:unhideWhenUsed/>
    <w:rsid w:val="00F554C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554C2"/>
  </w:style>
  <w:style w:type="paragraph" w:styleId="Fuzeile">
    <w:name w:val="footer"/>
    <w:basedOn w:val="Standard"/>
    <w:link w:val="FuzeileZchn"/>
    <w:uiPriority w:val="99"/>
    <w:unhideWhenUsed/>
    <w:rsid w:val="00F554C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5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1795">
      <w:bodyDiv w:val="1"/>
      <w:marLeft w:val="0"/>
      <w:marRight w:val="0"/>
      <w:marTop w:val="0"/>
      <w:marBottom w:val="0"/>
      <w:divBdr>
        <w:top w:val="none" w:sz="0" w:space="0" w:color="auto"/>
        <w:left w:val="none" w:sz="0" w:space="0" w:color="auto"/>
        <w:bottom w:val="none" w:sz="0" w:space="0" w:color="auto"/>
        <w:right w:val="none" w:sz="0" w:space="0" w:color="auto"/>
      </w:divBdr>
    </w:div>
    <w:div w:id="241335696">
      <w:bodyDiv w:val="1"/>
      <w:marLeft w:val="0"/>
      <w:marRight w:val="0"/>
      <w:marTop w:val="0"/>
      <w:marBottom w:val="0"/>
      <w:divBdr>
        <w:top w:val="none" w:sz="0" w:space="0" w:color="auto"/>
        <w:left w:val="none" w:sz="0" w:space="0" w:color="auto"/>
        <w:bottom w:val="none" w:sz="0" w:space="0" w:color="auto"/>
        <w:right w:val="none" w:sz="0" w:space="0" w:color="auto"/>
      </w:divBdr>
    </w:div>
    <w:div w:id="592512443">
      <w:bodyDiv w:val="1"/>
      <w:marLeft w:val="0"/>
      <w:marRight w:val="0"/>
      <w:marTop w:val="0"/>
      <w:marBottom w:val="0"/>
      <w:divBdr>
        <w:top w:val="none" w:sz="0" w:space="0" w:color="auto"/>
        <w:left w:val="none" w:sz="0" w:space="0" w:color="auto"/>
        <w:bottom w:val="none" w:sz="0" w:space="0" w:color="auto"/>
        <w:right w:val="none" w:sz="0" w:space="0" w:color="auto"/>
      </w:divBdr>
    </w:div>
    <w:div w:id="82451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cdc.europa.eu/sites/default/files/documents/social-distancing-measures-in-response-to-the-COVID-19-epidemic.pdf" TargetMode="External"/><Relationship Id="rId1" Type="http://schemas.openxmlformats.org/officeDocument/2006/relationships/hyperlink" Target="https://www.ecdc.europa.eu/en/publications-data/rapid-risk-assessment-novel-coronavirus-disease-2019-covid-19-pandemic-incr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5FAA-C7FB-42C6-BCF1-3F46B003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1656</Words>
  <Characters>10435</Characters>
  <Application>Microsoft Office Word</Application>
  <DocSecurity>4</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MOLNAR Agnes Marta (SANTE)</dc:creator>
  <cp:lastModifiedBy>Rexroth, Ute</cp:lastModifiedBy>
  <cp:revision>2</cp:revision>
  <cp:lastPrinted>2020-03-12T09:38:00Z</cp:lastPrinted>
  <dcterms:created xsi:type="dcterms:W3CDTF">2020-03-16T10:57:00Z</dcterms:created>
  <dcterms:modified xsi:type="dcterms:W3CDTF">2020-03-16T10:57:00Z</dcterms:modified>
</cp:coreProperties>
</file>