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Falldefinition und </w:t>
            </w:r>
            <w:proofErr w:type="spellStart"/>
            <w:r>
              <w:rPr>
                <w:b/>
              </w:rPr>
              <w:t>Flusschema</w:t>
            </w:r>
            <w:proofErr w:type="spellEnd"/>
            <w:r>
              <w:rPr>
                <w:b/>
              </w:rPr>
              <w:t>, Auswirkungen auf die Teststrategie</w:t>
            </w:r>
          </w:p>
          <w:p/>
        </w:tc>
        <w:tc>
          <w:tcPr>
            <w:tcW w:w="2024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18.03.2020,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99A6-55CC-4BFF-9AD4-2A8F2F81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2020-03-17T07:49:00Z</cp:lastPrinted>
  <dcterms:created xsi:type="dcterms:W3CDTF">2020-03-15T17:02:00Z</dcterms:created>
  <dcterms:modified xsi:type="dcterms:W3CDTF">2022-12-22T11:04:00Z</dcterms:modified>
</cp:coreProperties>
</file>