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Risikogebiete, bes. Österreich</w:t>
            </w:r>
          </w:p>
          <w:p/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 „besonders betroffene Regionen“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„Bewegungsmustern“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Vorstellung des </w:t>
            </w:r>
            <w:proofErr w:type="spellStart"/>
            <w:r>
              <w:t>Divi</w:t>
            </w:r>
            <w:proofErr w:type="spellEnd"/>
            <w:r>
              <w:t>-Notaufnahmeregisters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</w:t>
            </w:r>
          </w:p>
        </w:tc>
        <w:tc>
          <w:tcPr>
            <w:tcW w:w="2024" w:type="dxa"/>
          </w:tcPr>
          <w:p/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Nicht-Abschaffung der Risikogebiete bis 5.4. (BMG), RKI-Sprachentwurf liegt vor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Nowcast</w:t>
            </w:r>
            <w:proofErr w:type="spellEnd"/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Echtzeiterfassung Labortestergebnisse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Grundsätzliches zur RKI-Entscheidungskompetenzen (z.B. Risikogebiete)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Sachstand Patienten-Flussschema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Kontaktpersonen-Management-Flyer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Videodarstellung zu PSA-An/Ablegen </w:t>
            </w:r>
          </w:p>
        </w:tc>
        <w:tc>
          <w:tcPr>
            <w:tcW w:w="2024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Thema Selbstabstriche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 36</w:t>
            </w:r>
          </w:p>
          <w:p>
            <w:r>
              <w:t>FG 32/ FG17/ZBS1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Aktueller Sachstand Gespräche mit ABAS (IBBS)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Schwere Fälle, Genesene</w:t>
            </w:r>
          </w:p>
        </w:tc>
        <w:tc>
          <w:tcPr>
            <w:tcW w:w="2024" w:type="dxa"/>
          </w:tcPr>
          <w:p/>
          <w:p>
            <w:r>
              <w:t>FG32, 36, 37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Studien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>Update Digitale Tools</w:t>
            </w:r>
          </w:p>
        </w:tc>
        <w:tc>
          <w:tcPr>
            <w:tcW w:w="2024" w:type="dxa"/>
          </w:tcPr>
          <w:p/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Qualitätssicherung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Donnerstag 26.03.2020,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AA09-1692-4C75-B034-C64337A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12</cp:revision>
  <cp:lastPrinted>2020-03-13T12:00:00Z</cp:lastPrinted>
  <dcterms:created xsi:type="dcterms:W3CDTF">2020-03-24T15:13:00Z</dcterms:created>
  <dcterms:modified xsi:type="dcterms:W3CDTF">2022-12-22T11:09:00Z</dcterms:modified>
</cp:coreProperties>
</file>