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9A" w:rsidRDefault="00C57E9A" w:rsidP="00C57E9A">
      <w:pPr>
        <w:pStyle w:val="berschrift1"/>
      </w:pPr>
      <w:r>
        <w:t>Versuch die aktuelle Entwicklung neuer Infektionen von SARS-CoV-2 in Deutschland abzuschätzen</w:t>
      </w:r>
    </w:p>
    <w:p w:rsidR="00C600F1" w:rsidRDefault="00C600F1" w:rsidP="00C600F1"/>
    <w:p w:rsidR="00C600F1" w:rsidRPr="00C600F1" w:rsidRDefault="00C02E71" w:rsidP="00C600F1">
      <w:r>
        <w:t>Matthias an der Heiden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>2</w:t>
      </w:r>
      <w:r w:rsidR="00206A02">
        <w:t>5</w:t>
      </w:r>
      <w:r w:rsidR="00C600F1">
        <w:t>.03.2020</w:t>
      </w:r>
      <w:r w:rsidR="00C600F1">
        <w:br/>
        <w:t>anderHeidenM@rki.de</w:t>
      </w:r>
    </w:p>
    <w:p w:rsidR="00C57E9A" w:rsidRDefault="00C57E9A"/>
    <w:p w:rsidR="00C57E9A" w:rsidRDefault="00C57E9A">
      <w:r>
        <w:t xml:space="preserve">Über die Meldepflicht nach IfSG werden Infektionen mit SARS-CoV-2 in Deutschland von den </w:t>
      </w:r>
      <w:r w:rsidR="00F6366F">
        <w:t xml:space="preserve">Ärzten und Laboren an die </w:t>
      </w:r>
      <w:r>
        <w:t xml:space="preserve">Gesundheitsämtern </w:t>
      </w:r>
      <w:r w:rsidR="00F6366F">
        <w:t xml:space="preserve">gemeldet und von diesen über die zuständigen Landesbehörden </w:t>
      </w:r>
      <w:r>
        <w:t xml:space="preserve">an das Robert Koch-Institut </w:t>
      </w:r>
      <w:r w:rsidR="00F6366F">
        <w:t>übermittelt</w:t>
      </w:r>
      <w:r>
        <w:t>.</w:t>
      </w:r>
      <w:r w:rsidR="00BE5720">
        <w:t xml:space="preserve"> </w:t>
      </w:r>
      <w:r>
        <w:t>In der folgenden Darstellung werden nur bestätigte Fälle</w:t>
      </w:r>
      <w:r w:rsidR="00F6366F">
        <w:t xml:space="preserve"> aufgenommen</w:t>
      </w:r>
      <w:r>
        <w:t>, die vom Robert Koch-Institut validiert wurden.</w:t>
      </w:r>
    </w:p>
    <w:p w:rsidR="00BE5720" w:rsidRDefault="00BE5720">
      <w:r>
        <w:t xml:space="preserve">In Deutschland wurden mittlerweile eine ganze Reihe wichtiger Maßnahmen zur Eindämmung der SARS-CoV-2 </w:t>
      </w:r>
      <w:proofErr w:type="gramStart"/>
      <w:r>
        <w:t>Epidemie</w:t>
      </w:r>
      <w:proofErr w:type="gramEnd"/>
      <w:r>
        <w:t xml:space="preserve"> getroffen. Neben dem Test von Verdachtsfällen, der Isolation von bestätigten Fällen und der </w:t>
      </w:r>
      <w:proofErr w:type="spellStart"/>
      <w:r>
        <w:t>Quarantänisierung</w:t>
      </w:r>
      <w:proofErr w:type="spellEnd"/>
      <w:r>
        <w:t xml:space="preserve"> der engen Kontaktpersonen von bestätigten Fällen, sind dies allgemeine kontaktreduzierende Maßnahmen</w:t>
      </w:r>
      <w:r w:rsidR="00834067">
        <w:t xml:space="preserve"> zur Verringerung der Ausbreitung des Virus</w:t>
      </w:r>
      <w:r w:rsidR="00335394">
        <w:t xml:space="preserve"> (</w:t>
      </w:r>
      <w:r>
        <w:t>Tab</w:t>
      </w:r>
      <w:r w:rsidR="000D168F">
        <w:t>.</w:t>
      </w:r>
      <w:r>
        <w:t xml:space="preserve"> 1</w:t>
      </w:r>
      <w:r w:rsidR="00335394">
        <w:t>)</w:t>
      </w:r>
      <w:r>
        <w:t>.</w:t>
      </w:r>
    </w:p>
    <w:p w:rsidR="00D17866" w:rsidRDefault="00335394">
      <w:r>
        <w:t>Tab</w:t>
      </w:r>
      <w:r w:rsidR="000D168F">
        <w:t>.</w:t>
      </w:r>
      <w:r>
        <w:t xml:space="preserve"> 1. Start von Maßnahmen zur Eindämmung der SARS-CoV-2 </w:t>
      </w:r>
      <w:proofErr w:type="gramStart"/>
      <w:r>
        <w:t>Epidemie</w:t>
      </w:r>
      <w:proofErr w:type="gramEnd"/>
      <w:r>
        <w:t xml:space="preserve"> in Deutschland</w:t>
      </w:r>
      <w:r w:rsidR="009D5609">
        <w:t>, 2020</w:t>
      </w:r>
      <w:r>
        <w:t>.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D17866" w:rsidTr="00335394">
        <w:tc>
          <w:tcPr>
            <w:tcW w:w="2127" w:type="dxa"/>
          </w:tcPr>
          <w:p w:rsidR="00D17866" w:rsidRDefault="00D17866" w:rsidP="00D17866">
            <w:r>
              <w:t>Start der Maßnahme</w:t>
            </w:r>
          </w:p>
        </w:tc>
        <w:tc>
          <w:tcPr>
            <w:tcW w:w="6945" w:type="dxa"/>
          </w:tcPr>
          <w:p w:rsidR="00D17866" w:rsidRDefault="00D17866" w:rsidP="00D17866">
            <w:r>
              <w:t>Maßnahme</w:t>
            </w:r>
          </w:p>
        </w:tc>
      </w:tr>
      <w:tr w:rsidR="00D17866" w:rsidTr="00335394">
        <w:tc>
          <w:tcPr>
            <w:tcW w:w="2127" w:type="dxa"/>
          </w:tcPr>
          <w:p w:rsidR="00D17866" w:rsidRDefault="00D17866" w:rsidP="00D17866">
            <w:r>
              <w:t>9. März</w:t>
            </w:r>
          </w:p>
        </w:tc>
        <w:tc>
          <w:tcPr>
            <w:tcW w:w="6945" w:type="dxa"/>
          </w:tcPr>
          <w:p w:rsidR="00D17866" w:rsidRDefault="00D17866" w:rsidP="00D17866">
            <w:r>
              <w:t xml:space="preserve">Absage großer Veranstaltungen in verschiedenen Bundesländern </w:t>
            </w:r>
            <w:r>
              <w:br/>
              <w:t>(bei über 1.000 Teilnehmer)</w:t>
            </w:r>
          </w:p>
        </w:tc>
      </w:tr>
      <w:tr w:rsidR="00D17866" w:rsidTr="00335394">
        <w:tc>
          <w:tcPr>
            <w:tcW w:w="2127" w:type="dxa"/>
          </w:tcPr>
          <w:p w:rsidR="00D17866" w:rsidRDefault="00D17866" w:rsidP="00D17866">
            <w:r>
              <w:t>16. März</w:t>
            </w:r>
          </w:p>
        </w:tc>
        <w:tc>
          <w:tcPr>
            <w:tcW w:w="6945" w:type="dxa"/>
          </w:tcPr>
          <w:p w:rsidR="00D17866" w:rsidRDefault="00D17866" w:rsidP="00D17866">
            <w:r w:rsidRPr="003400E7">
              <w:t xml:space="preserve">Bund-Länder-Vereinbarung zu Leitlinien gegen Ausbreitung des </w:t>
            </w:r>
            <w:proofErr w:type="spellStart"/>
            <w:r w:rsidRPr="003400E7">
              <w:t>Coronavirus</w:t>
            </w:r>
            <w:proofErr w:type="spellEnd"/>
          </w:p>
        </w:tc>
      </w:tr>
      <w:tr w:rsidR="00D17866" w:rsidTr="00335394">
        <w:tc>
          <w:tcPr>
            <w:tcW w:w="2127" w:type="dxa"/>
          </w:tcPr>
          <w:p w:rsidR="00D17866" w:rsidRDefault="00D17866" w:rsidP="00D17866">
            <w:r>
              <w:t>23. März</w:t>
            </w:r>
          </w:p>
        </w:tc>
        <w:tc>
          <w:tcPr>
            <w:tcW w:w="6945" w:type="dxa"/>
          </w:tcPr>
          <w:p w:rsidR="00D17866" w:rsidRDefault="00D17866" w:rsidP="00D17866">
            <w:r>
              <w:t xml:space="preserve">Bundesweit </w:t>
            </w:r>
            <w:r w:rsidRPr="00655CA7">
              <w:t>umfangreiches Kontaktverbot</w:t>
            </w:r>
          </w:p>
        </w:tc>
      </w:tr>
    </w:tbl>
    <w:p w:rsidR="00D17866" w:rsidRPr="00D17866" w:rsidRDefault="00D17866" w:rsidP="003400E7">
      <w:pPr>
        <w:rPr>
          <w:sz w:val="6"/>
          <w:szCs w:val="6"/>
        </w:rPr>
      </w:pPr>
    </w:p>
    <w:p w:rsidR="003400E7" w:rsidRDefault="003400E7" w:rsidP="003400E7"/>
    <w:p w:rsidR="00BE5720" w:rsidRDefault="00BE5720"/>
    <w:p w:rsidR="000B76F0" w:rsidRDefault="00C57E9A">
      <w:r>
        <w:t>Zum aktuellen Datenstand (2</w:t>
      </w:r>
      <w:r w:rsidR="00947332">
        <w:t>7.03.2020, 1</w:t>
      </w:r>
      <w:r w:rsidR="00EC1C68">
        <w:t>2</w:t>
      </w:r>
      <w:r w:rsidR="00E176EE">
        <w:t>:00</w:t>
      </w:r>
      <w:r>
        <w:t xml:space="preserve"> Uhr) </w:t>
      </w:r>
      <w:r w:rsidR="000B76F0">
        <w:t xml:space="preserve">lagen </w:t>
      </w:r>
      <w:r w:rsidR="00947332">
        <w:t>42</w:t>
      </w:r>
      <w:r w:rsidR="00335394">
        <w:t>.</w:t>
      </w:r>
      <w:r w:rsidR="008551FB">
        <w:t>1</w:t>
      </w:r>
      <w:r w:rsidR="00947332">
        <w:t>73</w:t>
      </w:r>
      <w:r w:rsidR="000B76F0">
        <w:t xml:space="preserve"> SARS-C</w:t>
      </w:r>
      <w:r w:rsidR="00947332">
        <w:t>oV-2 Fälle vor. Darunter waren 22</w:t>
      </w:r>
      <w:r w:rsidR="00335394">
        <w:t>.</w:t>
      </w:r>
      <w:r w:rsidR="008551FB">
        <w:t>6</w:t>
      </w:r>
      <w:r w:rsidR="00947332">
        <w:t>13</w:t>
      </w:r>
      <w:r w:rsidR="000B76F0">
        <w:t xml:space="preserve"> Männer</w:t>
      </w:r>
      <w:r w:rsidR="00947332">
        <w:t xml:space="preserve"> und 19</w:t>
      </w:r>
      <w:r w:rsidR="00335394">
        <w:t>.</w:t>
      </w:r>
      <w:r w:rsidR="008551FB">
        <w:t>39</w:t>
      </w:r>
      <w:r w:rsidR="00947332">
        <w:t>8</w:t>
      </w:r>
      <w:r w:rsidR="000B76F0">
        <w:t xml:space="preserve"> Frauen</w:t>
      </w:r>
      <w:r w:rsidR="00F6366F">
        <w:t>. Bei</w:t>
      </w:r>
      <w:r w:rsidR="00EC1C68">
        <w:t xml:space="preserve"> </w:t>
      </w:r>
      <w:r w:rsidR="00947332">
        <w:t>162</w:t>
      </w:r>
      <w:r w:rsidR="000B76F0">
        <w:t xml:space="preserve"> weitere</w:t>
      </w:r>
      <w:r w:rsidR="00F6366F">
        <w:t>n</w:t>
      </w:r>
      <w:r w:rsidR="000B76F0">
        <w:t xml:space="preserve"> Fälle</w:t>
      </w:r>
      <w:r w:rsidR="00F6366F">
        <w:t>n war das Geschlecht entweder divers, nicht erhoben oder nicht bekannt</w:t>
      </w:r>
      <w:r w:rsidR="00947332">
        <w:t>. Der Altersmedian lag bei 48</w:t>
      </w:r>
      <w:r w:rsidR="000B76F0">
        <w:t xml:space="preserve"> Jah</w:t>
      </w:r>
      <w:r w:rsidR="00E176EE">
        <w:t>ren (</w:t>
      </w:r>
      <w:r w:rsidR="00335394">
        <w:t>Interquartilsabstand [</w:t>
      </w:r>
      <w:r w:rsidR="00E176EE">
        <w:t>IQR</w:t>
      </w:r>
      <w:r w:rsidR="00335394">
        <w:t>]</w:t>
      </w:r>
      <w:r w:rsidR="008551FB">
        <w:t>: 32–57 Jahre), zu 141</w:t>
      </w:r>
      <w:r w:rsidR="000B76F0">
        <w:t xml:space="preserve"> Fällen lagen keine Altersangaben vor.</w:t>
      </w:r>
      <w:r w:rsidR="008E0544">
        <w:t xml:space="preserve"> </w:t>
      </w:r>
      <w:r w:rsidR="000B76F0">
        <w:t xml:space="preserve">Trägt man die Fälle nach </w:t>
      </w:r>
      <w:r w:rsidR="008551FB">
        <w:t>dem Datum des Eingangs am RKI</w:t>
      </w:r>
      <w:r w:rsidR="000B76F0">
        <w:t xml:space="preserve"> auf so ergibt sich die Kurve in Abb. 1</w:t>
      </w:r>
      <w:r w:rsidR="008E0544">
        <w:t>.</w:t>
      </w:r>
    </w:p>
    <w:p w:rsidR="008E0544" w:rsidRDefault="008E054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4301" w:rsidTr="000F4301">
        <w:tc>
          <w:tcPr>
            <w:tcW w:w="9212" w:type="dxa"/>
          </w:tcPr>
          <w:p w:rsidR="000F4301" w:rsidRDefault="000F4301">
            <w:r>
              <w:rPr>
                <w:noProof/>
                <w:lang w:eastAsia="de-DE"/>
              </w:rPr>
              <w:lastRenderedPageBreak/>
              <w:drawing>
                <wp:inline distT="0" distB="0" distL="0" distR="0">
                  <wp:extent cx="3862317" cy="2206613"/>
                  <wp:effectExtent l="0" t="0" r="5080" b="381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ue_Fälle_EingangRKI.em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4776" cy="2208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4301" w:rsidTr="000F4301">
        <w:tc>
          <w:tcPr>
            <w:tcW w:w="9212" w:type="dxa"/>
          </w:tcPr>
          <w:p w:rsidR="000F4301" w:rsidRDefault="000F4301">
            <w:r>
              <w:rPr>
                <w:noProof/>
                <w:lang w:eastAsia="de-DE"/>
              </w:rPr>
              <w:drawing>
                <wp:inline distT="0" distB="0" distL="0" distR="0">
                  <wp:extent cx="3869887" cy="2210938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älle_EingangRKI.em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0329" cy="2216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6F0" w:rsidRDefault="000B76F0"/>
    <w:p w:rsidR="000B76F0" w:rsidRDefault="000B76F0">
      <w:r>
        <w:t>Abb</w:t>
      </w:r>
      <w:r w:rsidR="000D168F">
        <w:t>.</w:t>
      </w:r>
      <w:r>
        <w:t xml:space="preserve"> 1. Entwicklung der Anzahl von gemeldeten SARS-CoV-2 Fällen in Deutschland nach Datum der </w:t>
      </w:r>
      <w:r w:rsidR="00AB3F96">
        <w:t>Übermittlung</w:t>
      </w:r>
      <w:r>
        <w:t xml:space="preserve"> an</w:t>
      </w:r>
      <w:r w:rsidR="00335394">
        <w:t xml:space="preserve"> da</w:t>
      </w:r>
      <w:r>
        <w:t>s Robert Koch-Institut.</w:t>
      </w:r>
      <w:r w:rsidR="003A7527">
        <w:t xml:space="preserve"> </w:t>
      </w:r>
      <w:r w:rsidR="00494D94">
        <w:t xml:space="preserve">Die gestrichelten Linien kennzeichnen den Start </w:t>
      </w:r>
      <w:r w:rsidR="00335394">
        <w:t>der in Tab</w:t>
      </w:r>
      <w:r w:rsidR="000D168F">
        <w:t>. </w:t>
      </w:r>
      <w:r w:rsidR="00335394">
        <w:t>1 genannten</w:t>
      </w:r>
      <w:r w:rsidR="00494D94">
        <w:t xml:space="preserve"> Maßnahmen am </w:t>
      </w:r>
      <w:r w:rsidR="009D5609">
        <w:t>9</w:t>
      </w:r>
      <w:r w:rsidR="00494D94">
        <w:t>. März, 16. März und 23. März</w:t>
      </w:r>
      <w:r w:rsidR="009D5609">
        <w:t xml:space="preserve"> 2020</w:t>
      </w:r>
      <w:r w:rsidR="00494D94">
        <w:t>.</w:t>
      </w:r>
      <w:r w:rsidR="00D32B49">
        <w:t xml:space="preserve"> Die Abbildung oben zeigt die Entwicklung der neuen Fälle, unten wird die kumulative Anzahl von Fällen dargestellt.</w:t>
      </w:r>
    </w:p>
    <w:p w:rsidR="00E85B07" w:rsidRDefault="00E85B07"/>
    <w:p w:rsidR="00AE0F3D" w:rsidRDefault="00E85B07">
      <w:r>
        <w:t xml:space="preserve">Um diese Entwicklung besser zu verstehen erfolgt zunächst eine Darstellung dieser Entwicklung nach dem Erkrankungsbeginn. Der Erkrankungsbeginn war </w:t>
      </w:r>
      <w:r w:rsidR="005B4821">
        <w:t xml:space="preserve">in </w:t>
      </w:r>
      <w:r w:rsidR="00D32B49">
        <w:t>24.631</w:t>
      </w:r>
      <w:r w:rsidR="005B4821">
        <w:t xml:space="preserve"> Fällen angegeben, </w:t>
      </w:r>
      <w:r w:rsidR="00D32B49">
        <w:t>in 17</w:t>
      </w:r>
      <w:r w:rsidR="005B4821">
        <w:t>.</w:t>
      </w:r>
      <w:r w:rsidR="00D32B49">
        <w:t>542</w:t>
      </w:r>
      <w:r w:rsidR="005B4821">
        <w:t xml:space="preserve"> Fällen war er nicht angegeben. </w:t>
      </w:r>
      <w:r w:rsidR="00C10DFA">
        <w:t xml:space="preserve">In manchen Fällen </w:t>
      </w:r>
      <w:proofErr w:type="gramStart"/>
      <w:r w:rsidR="00C10DFA">
        <w:t>einer bestätigten SARS-CoV-2 Infektion</w:t>
      </w:r>
      <w:proofErr w:type="gramEnd"/>
      <w:r w:rsidR="00C10DFA">
        <w:t xml:space="preserve"> entwickelt sich ein asymptomatischer Verlauf, so dass es nie zu einem Erkrankungsbeginn kommt. Diese werden hier aber so behandelt als handele es sich um eine fehlende Angabe. </w:t>
      </w:r>
    </w:p>
    <w:p w:rsidR="00E85B07" w:rsidRDefault="00C10DFA">
      <w:r>
        <w:t>D</w:t>
      </w:r>
      <w:r w:rsidR="005B4821">
        <w:t>er erste Schritt</w:t>
      </w:r>
      <w:r>
        <w:t xml:space="preserve"> zum besseren Verständnis der Entwicklung der SARS-CoV-2 Infektionen </w:t>
      </w:r>
      <w:r w:rsidR="00AE0F3D">
        <w:t xml:space="preserve">besteht in der Schätzung des </w:t>
      </w:r>
      <w:r w:rsidR="005B4821">
        <w:t>Erkrankungsbeginn</w:t>
      </w:r>
      <w:r w:rsidR="00AE0F3D">
        <w:t>s, wenn dieser nicht übermittelt wurde</w:t>
      </w:r>
      <w:r w:rsidR="005B4821">
        <w:t xml:space="preserve">. Als Verfahren </w:t>
      </w:r>
      <w:r w:rsidR="009D5609">
        <w:t xml:space="preserve">für das Ersetzen </w:t>
      </w:r>
      <w:r w:rsidR="000D168F">
        <w:t xml:space="preserve">dieser </w:t>
      </w:r>
      <w:proofErr w:type="gramStart"/>
      <w:r w:rsidR="009D5609">
        <w:t>fehlender</w:t>
      </w:r>
      <w:proofErr w:type="gramEnd"/>
      <w:r w:rsidR="009D5609">
        <w:t xml:space="preserve"> </w:t>
      </w:r>
      <w:r w:rsidR="000D168F">
        <w:t>Angaben</w:t>
      </w:r>
      <w:r w:rsidR="009D5609">
        <w:t xml:space="preserve"> </w:t>
      </w:r>
      <w:r w:rsidR="005B4821">
        <w:t>wurde eine</w:t>
      </w:r>
      <w:r w:rsidR="00AE0F3D">
        <w:t xml:space="preserve"> sogenannte</w:t>
      </w:r>
      <w:r w:rsidR="005B4821">
        <w:t xml:space="preserve"> </w:t>
      </w:r>
      <w:r w:rsidR="00AE0F3D">
        <w:t>„</w:t>
      </w:r>
      <w:r w:rsidR="005B4821">
        <w:t xml:space="preserve">multiple </w:t>
      </w:r>
      <w:proofErr w:type="spellStart"/>
      <w:r w:rsidR="005B4821">
        <w:t>Imputation</w:t>
      </w:r>
      <w:proofErr w:type="spellEnd"/>
      <w:r w:rsidR="00AE0F3D">
        <w:t>“</w:t>
      </w:r>
      <w:r w:rsidR="005B4821">
        <w:t xml:space="preserve"> durchgeführt</w:t>
      </w:r>
      <w:r w:rsidR="00AE0F3D">
        <w:t>, bei der die fehlenden Datenwerte aufgrund der stati</w:t>
      </w:r>
      <w:r w:rsidR="009D5609">
        <w:t>sti</w:t>
      </w:r>
      <w:r w:rsidR="00AE0F3D">
        <w:t xml:space="preserve">schen </w:t>
      </w:r>
      <w:r w:rsidR="009D5609">
        <w:t>Zusammenhänge der bekannten Daten geschätzt werden</w:t>
      </w:r>
      <w:r w:rsidR="00AE0F3D">
        <w:t>. Als wichtigste</w:t>
      </w:r>
      <w:r w:rsidR="005B4821">
        <w:t xml:space="preserve"> Angabe zur Ermittlung des Erkrankungsbeginns wurde</w:t>
      </w:r>
      <w:r w:rsidR="00AE0F3D">
        <w:t xml:space="preserve"> dabei</w:t>
      </w:r>
      <w:r w:rsidR="005B4821">
        <w:t xml:space="preserve"> das Meldedatum verwendet</w:t>
      </w:r>
      <w:r w:rsidR="00AE0F3D">
        <w:t xml:space="preserve">, die </w:t>
      </w:r>
      <w:r w:rsidR="009D5609">
        <w:t xml:space="preserve">fehlenden Werte wurden </w:t>
      </w:r>
      <w:r w:rsidR="00AE0F3D">
        <w:t>getrennt für die Bundesländer</w:t>
      </w:r>
      <w:r w:rsidR="009D5609">
        <w:t xml:space="preserve"> geschätzt</w:t>
      </w:r>
      <w:r w:rsidR="005B4821">
        <w:t xml:space="preserve">. </w:t>
      </w:r>
      <w:r w:rsidR="003B0123">
        <w:t>Abb. 2 zeigt die Verteilung des zeitlichen Abstand</w:t>
      </w:r>
      <w:r w:rsidR="000D168F">
        <w:t>s</w:t>
      </w:r>
      <w:r w:rsidR="003B0123">
        <w:t xml:space="preserve"> zwischen </w:t>
      </w:r>
      <w:r w:rsidR="00C47032">
        <w:t xml:space="preserve">Erkrankungsbeginn und Meldedatum, wenn der Erkrankungsbeginn </w:t>
      </w:r>
      <w:r w:rsidR="002F3D84">
        <w:t>bekannt war. Dabei werden 50</w:t>
      </w:r>
      <w:r w:rsidR="00C47032">
        <w:t xml:space="preserve"> Fälle nicht dargestellt, in denen dieser </w:t>
      </w:r>
      <w:r w:rsidR="006172CD">
        <w:t>zeitliche Abstand negativ war oder über 3</w:t>
      </w:r>
      <w:r w:rsidR="00C47032">
        <w:t>0 Tagen lag</w:t>
      </w:r>
      <w:r w:rsidR="00347657">
        <w:rPr>
          <w:rStyle w:val="Funotenzeichen"/>
        </w:rPr>
        <w:footnoteReference w:id="1"/>
      </w:r>
      <w:r w:rsidR="00C47032">
        <w:t>.</w:t>
      </w:r>
      <w:r w:rsidR="00A81A49">
        <w:t xml:space="preserve"> </w:t>
      </w:r>
      <w:r w:rsidR="00F36FC7">
        <w:t>Diese wurden bei der nachfolgen</w:t>
      </w:r>
      <w:r w:rsidR="00347657">
        <w:t>den Analyse nicht miteinbezogen</w:t>
      </w:r>
      <w:r w:rsidR="00F36FC7">
        <w:t>.</w:t>
      </w:r>
      <w:r w:rsidR="00F4425D">
        <w:t xml:space="preserve"> Eine Analyse der zeitlichen Dynamik dieser Verzug</w:t>
      </w:r>
      <w:r w:rsidR="00ED7521">
        <w:t>sverteilung</w:t>
      </w:r>
      <w:r w:rsidR="00F8273A">
        <w:t xml:space="preserve"> nach dem Tag der Meldung</w:t>
      </w:r>
      <w:r w:rsidR="00ED7521">
        <w:t xml:space="preserve"> ergibt eine </w:t>
      </w:r>
      <w:r w:rsidR="00F4425D">
        <w:t xml:space="preserve"> </w:t>
      </w:r>
      <w:r w:rsidR="00F8273A">
        <w:t>relativ stabil</w:t>
      </w:r>
      <w:r w:rsidR="00C60198">
        <w:t>e Verteilung zwischen 15. und 21</w:t>
      </w:r>
      <w:r w:rsidR="00F8273A">
        <w:t>. März 2020</w:t>
      </w:r>
      <w:r w:rsidR="007835E3">
        <w:t>,</w:t>
      </w:r>
      <w:r w:rsidR="004E62A6">
        <w:t xml:space="preserve"> die sich aber zuletzt in Richtung eines längeren Verzuges verschoben hat,</w:t>
      </w:r>
      <w:r w:rsidR="007835E3">
        <w:t xml:space="preserve"> siehe Abb. 3</w:t>
      </w:r>
      <w:r w:rsidR="00F8273A">
        <w:t>.</w:t>
      </w:r>
      <w:r w:rsidR="006929B6">
        <w:t xml:space="preserve"> Der Mittelwert der Verzögerung st</w:t>
      </w:r>
      <w:r w:rsidR="007A113E">
        <w:t>ie</w:t>
      </w:r>
      <w:r w:rsidR="006929B6">
        <w:t>g</w:t>
      </w:r>
      <w:r w:rsidR="007A113E">
        <w:t xml:space="preserve"> allerding</w:t>
      </w:r>
      <w:r w:rsidR="0071446A">
        <w:t>s</w:t>
      </w:r>
      <w:r w:rsidR="007A113E">
        <w:t xml:space="preserve"> seit</w:t>
      </w:r>
      <w:r w:rsidR="003172F0">
        <w:t xml:space="preserve"> dem 12. März von 5</w:t>
      </w:r>
      <w:r w:rsidR="006929B6">
        <w:t>,3 Tagen auf</w:t>
      </w:r>
      <w:r w:rsidR="00324A9C">
        <w:t xml:space="preserve"> 6,6</w:t>
      </w:r>
      <w:r w:rsidR="00C60198">
        <w:t xml:space="preserve"> bis zum 21. März</w:t>
      </w:r>
      <w:r w:rsidR="003172F0">
        <w:t>. Seit dem 22</w:t>
      </w:r>
      <w:r w:rsidR="007A113E">
        <w:t>. März</w:t>
      </w:r>
      <w:r w:rsidR="003172F0">
        <w:t xml:space="preserve"> liegt er konstant bei etwa 8 Tagen</w:t>
      </w:r>
      <w:r w:rsidR="007A113E">
        <w:t>.</w:t>
      </w:r>
    </w:p>
    <w:p w:rsidR="00A81A49" w:rsidRDefault="00A81A49"/>
    <w:p w:rsidR="001F7101" w:rsidRDefault="001F7101"/>
    <w:p w:rsidR="001F7101" w:rsidRDefault="00941D67">
      <w:r>
        <w:rPr>
          <w:noProof/>
          <w:lang w:eastAsia="de-DE"/>
        </w:rPr>
        <w:drawing>
          <wp:inline distT="0" distB="0" distL="0" distR="0">
            <wp:extent cx="5219570" cy="2982036"/>
            <wp:effectExtent l="0" t="0" r="635" b="889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stand_ErkrBeginn_Meldung_ges.em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2893" cy="298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A49" w:rsidRDefault="00A81A49">
      <w:r>
        <w:t>Abb</w:t>
      </w:r>
      <w:r w:rsidR="000D168F">
        <w:t>.</w:t>
      </w:r>
      <w:r>
        <w:t xml:space="preserve"> 2. Verteilung des zeitlichen Abstands zwischen Meldedatum und Erkrankungsbeginn.</w:t>
      </w:r>
      <w:r w:rsidR="00D34DFA">
        <w:t xml:space="preserve"> Die rote Linie kennzeichnet den </w:t>
      </w:r>
      <w:r w:rsidR="001F7101">
        <w:t xml:space="preserve">Median der Verteilung, der bei </w:t>
      </w:r>
      <w:r w:rsidR="00941D67">
        <w:t>7</w:t>
      </w:r>
      <w:r w:rsidR="00D34DFA">
        <w:t xml:space="preserve"> Tagen liegt</w:t>
      </w:r>
      <w:r w:rsidR="00D557BF">
        <w:t>, mehr als 50% der We</w:t>
      </w:r>
      <w:r w:rsidR="001F7101">
        <w:t>rte liegen im Bereich zwischen 4</w:t>
      </w:r>
      <w:r w:rsidR="00D557BF">
        <w:t xml:space="preserve"> </w:t>
      </w:r>
      <w:r w:rsidR="001F7101">
        <w:t>und 9</w:t>
      </w:r>
      <w:r w:rsidR="00D557BF">
        <w:t xml:space="preserve"> Tagen</w:t>
      </w:r>
      <w:r w:rsidR="00D34DFA">
        <w:t>.</w:t>
      </w:r>
    </w:p>
    <w:p w:rsidR="00F4425D" w:rsidRDefault="00F4425D"/>
    <w:p w:rsidR="00F4425D" w:rsidRDefault="002D1FAE">
      <w:r>
        <w:rPr>
          <w:noProof/>
          <w:lang w:eastAsia="de-DE"/>
        </w:rPr>
        <w:drawing>
          <wp:inline distT="0" distB="0" distL="0" distR="0">
            <wp:extent cx="5760720" cy="3291205"/>
            <wp:effectExtent l="0" t="0" r="0" b="444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r_Delay_ErkrBeg.em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D31" w:rsidRDefault="007835E3" w:rsidP="00DE5D31">
      <w:r>
        <w:t>Abb</w:t>
      </w:r>
      <w:r w:rsidR="00A57557">
        <w:t>.</w:t>
      </w:r>
      <w:r>
        <w:t xml:space="preserve"> 3</w:t>
      </w:r>
      <w:r w:rsidR="00DE5D31">
        <w:t xml:space="preserve">. Verteilung des zeitlichen Abstands zwischen Meldedatum und Erkrankungsbeginn getrennt nach Datum der Meldung. </w:t>
      </w:r>
    </w:p>
    <w:p w:rsidR="00A81A49" w:rsidRDefault="00A81A49"/>
    <w:p w:rsidR="00056183" w:rsidRDefault="00244E6C">
      <w:r>
        <w:t>Der Mittelwert und die Standardabweichung dieser Verteilung hängen nicht wesentlich vom Alter oder vom Geschlecht ab, daher wurde</w:t>
      </w:r>
      <w:r w:rsidR="00554250">
        <w:t>n</w:t>
      </w:r>
      <w:r w:rsidR="00A02D50">
        <w:t xml:space="preserve"> nur das Bundesland der Fälle und das Meldedatum bei der</w:t>
      </w:r>
      <w:r>
        <w:t xml:space="preserve"> multiplen </w:t>
      </w:r>
      <w:proofErr w:type="spellStart"/>
      <w:r>
        <w:t>Imputation</w:t>
      </w:r>
      <w:proofErr w:type="spellEnd"/>
      <w:r>
        <w:t xml:space="preserve"> des Erkrankungsbeginn</w:t>
      </w:r>
      <w:r w:rsidR="00F6366F">
        <w:t>s</w:t>
      </w:r>
      <w:r>
        <w:t xml:space="preserve"> verwendet. Zur Durchführung der multiplen </w:t>
      </w:r>
      <w:proofErr w:type="spellStart"/>
      <w:r>
        <w:t>Imputation</w:t>
      </w:r>
      <w:proofErr w:type="spellEnd"/>
      <w:r>
        <w:t xml:space="preserve"> wurden</w:t>
      </w:r>
      <w:r w:rsidR="00A02D50">
        <w:t xml:space="preserve"> (getrennt für die Bundesländer)</w:t>
      </w:r>
      <w:r>
        <w:t xml:space="preserve"> jeweils 200 Realisation aus der empirischen Verteilung des zeitlichen Abstand</w:t>
      </w:r>
      <w:r w:rsidR="00554250">
        <w:t>s</w:t>
      </w:r>
      <w:r>
        <w:t xml:space="preserve"> zwischen Erkrankungsbeginn und Meldedatum den Fällen ohne Erkrankungsbeginn zugeordnet, Werte unter null wurden auf null gesetzt. Die Differenz zw</w:t>
      </w:r>
      <w:r w:rsidR="00554250">
        <w:t>ischen dem Meldedatum und diesem</w:t>
      </w:r>
      <w:r>
        <w:t xml:space="preserve"> Abstand ergab dann die verschiedenen Realisierungen des simulierte</w:t>
      </w:r>
      <w:r w:rsidR="00552370">
        <w:t>n Erkrankungsbeginns. Damit ergi</w:t>
      </w:r>
      <w:r>
        <w:t>b</w:t>
      </w:r>
      <w:r w:rsidR="00552370">
        <w:t>t</w:t>
      </w:r>
      <w:r w:rsidR="007835E3">
        <w:t xml:space="preserve"> sich eine Entwicklung der gemeldeten Fälle, wie in Abb</w:t>
      </w:r>
      <w:r w:rsidR="00A57557">
        <w:t>.</w:t>
      </w:r>
      <w:r w:rsidR="007835E3">
        <w:t xml:space="preserve"> 4</w:t>
      </w:r>
      <w:r>
        <w:t xml:space="preserve"> dargestellt.</w:t>
      </w:r>
      <w:r w:rsidR="005C6998">
        <w:t xml:space="preserve"> Dargestellt werden Mittelwert sowie das 2,5% und das 97,5% Perzentil der 200 Realisationen.</w:t>
      </w:r>
    </w:p>
    <w:p w:rsidR="00835E67" w:rsidRDefault="002D1FAE">
      <w:r>
        <w:rPr>
          <w:noProof/>
          <w:lang w:eastAsia="de-DE"/>
        </w:rPr>
        <w:drawing>
          <wp:inline distT="0" distB="0" distL="0" distR="0">
            <wp:extent cx="5076242" cy="2900150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lzahl_EB_BLges_mi.em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9474" cy="2901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B14" w:rsidRDefault="00A0649C" w:rsidP="00F85B14">
      <w:r>
        <w:t>Abb</w:t>
      </w:r>
      <w:r w:rsidR="00A57557">
        <w:t>.</w:t>
      </w:r>
      <w:r>
        <w:t xml:space="preserve"> 4</w:t>
      </w:r>
      <w:r w:rsidR="00835E67">
        <w:t xml:space="preserve">. </w:t>
      </w:r>
      <w:r w:rsidR="0025164D">
        <w:t xml:space="preserve">Geschätzte </w:t>
      </w:r>
      <w:r w:rsidR="00835E67">
        <w:t xml:space="preserve">Entwicklung der Anzahl von gemeldeten SARS-CoV-2 Fällen in Deutschland nach </w:t>
      </w:r>
      <w:r w:rsidR="00B14157">
        <w:t xml:space="preserve">teilweise </w:t>
      </w:r>
      <w:proofErr w:type="spellStart"/>
      <w:r w:rsidR="00B14157">
        <w:t>imputierten</w:t>
      </w:r>
      <w:proofErr w:type="spellEnd"/>
      <w:r w:rsidR="00B14157">
        <w:t xml:space="preserve"> </w:t>
      </w:r>
      <w:r w:rsidR="00835E67">
        <w:t>Datum des Erkrankungsbeginns.</w:t>
      </w:r>
      <w:r w:rsidR="00087CC8">
        <w:t xml:space="preserve"> </w:t>
      </w:r>
      <w:r w:rsidR="00F85B14">
        <w:t xml:space="preserve">Die gestrichelten Linien kennzeichnen den Start bestimmter Maßnahmen am </w:t>
      </w:r>
      <w:r w:rsidR="005675C8">
        <w:t>9</w:t>
      </w:r>
      <w:r w:rsidR="00F85B14">
        <w:t>. März, 16. März und 23. März, siehe Tab</w:t>
      </w:r>
      <w:r w:rsidR="00A57557">
        <w:t>.</w:t>
      </w:r>
      <w:r w:rsidR="00F85B14">
        <w:t xml:space="preserve"> 1.</w:t>
      </w:r>
    </w:p>
    <w:p w:rsidR="00C3796A" w:rsidRDefault="00C3796A"/>
    <w:p w:rsidR="004E4629" w:rsidRDefault="00087CC8">
      <w:r>
        <w:t>In Abb</w:t>
      </w:r>
      <w:r w:rsidR="00A57557">
        <w:t>. 4</w:t>
      </w:r>
      <w:r>
        <w:t xml:space="preserve"> ist eine Abflachung der Kurve nach dem 16. März erkennbar. </w:t>
      </w:r>
      <w:r w:rsidR="00A0649C">
        <w:t xml:space="preserve">Seit diesem Datum gilt die </w:t>
      </w:r>
      <w:r w:rsidR="00A0649C" w:rsidRPr="006929B6">
        <w:t>Bund-Länder-Vereinbarung</w:t>
      </w:r>
      <w:r w:rsidR="00A0649C">
        <w:t xml:space="preserve"> zu</w:t>
      </w:r>
      <w:r w:rsidR="00A0649C" w:rsidRPr="006929B6">
        <w:t xml:space="preserve"> Leitlinien gegen Ausbreitung des </w:t>
      </w:r>
      <w:proofErr w:type="spellStart"/>
      <w:r w:rsidR="00A0649C" w:rsidRPr="006929B6">
        <w:t>Coronavirus</w:t>
      </w:r>
      <w:proofErr w:type="spellEnd"/>
      <w:r w:rsidR="00A0649C">
        <w:t xml:space="preserve">. </w:t>
      </w:r>
      <w:r>
        <w:t xml:space="preserve">Diese Abflachung ist aber möglicherweise einfach Ausdruck eines Diagnose- und Meldeverzugs, denn typischerweise wird eine COVID-19-Erkrankung nicht unmittelbar nach Erkrankungsbeginn diagnostiziert und gemeldet, wie ja auch die Verteilung in Abb. 2 zeigt. </w:t>
      </w:r>
    </w:p>
    <w:p w:rsidR="00087CC8" w:rsidRPr="00041FC5" w:rsidRDefault="00A730BB">
      <w:r>
        <w:t>Daher verwenden wir die</w:t>
      </w:r>
      <w:r w:rsidR="00087CC8">
        <w:t xml:space="preserve"> Vert</w:t>
      </w:r>
      <w:r>
        <w:t>eilung des</w:t>
      </w:r>
      <w:r w:rsidR="00087CC8">
        <w:t xml:space="preserve"> zeitlichen Verzugs zwischen Erkrankungsbeginn und </w:t>
      </w:r>
      <w:r>
        <w:t>Übermittlung</w:t>
      </w:r>
      <w:r w:rsidR="00087CC8">
        <w:t xml:space="preserve"> ans Robert Koch-Institut erneut</w:t>
      </w:r>
      <w:r>
        <w:t>, dieses Mal</w:t>
      </w:r>
      <w:r w:rsidR="00087CC8">
        <w:t xml:space="preserve"> um für den </w:t>
      </w:r>
      <w:r>
        <w:t xml:space="preserve">Diagnose- und </w:t>
      </w:r>
      <w:r w:rsidR="00087CC8">
        <w:t>Meldeverzug zu korrigieren. Dabei muss allerdings beachtet werden, dass es durch die Systematik der Meldung automatisch zu einer Verzerrung des Verzuges kommt, wenn alle</w:t>
      </w:r>
      <w:r w:rsidR="00A52469">
        <w:t xml:space="preserve"> vorhandenen</w:t>
      </w:r>
      <w:r w:rsidR="00087CC8">
        <w:t xml:space="preserve"> Meldungen gleichmäßig in die Schät</w:t>
      </w:r>
      <w:r w:rsidR="00842FCC">
        <w:t>zung des Verzug miteinbezogen wü</w:t>
      </w:r>
      <w:r w:rsidR="00087CC8">
        <w:t>rden, da unter den rezenten Erkrankungen offensichtlich nur die mit einer schnelle</w:t>
      </w:r>
      <w:r w:rsidR="00842FCC">
        <w:t>n</w:t>
      </w:r>
      <w:r w:rsidR="00087CC8">
        <w:t xml:space="preserve"> Meldungen </w:t>
      </w:r>
      <w:r w:rsidR="00A52469">
        <w:t>zum Zeitpunkt der Analyse bereits übermittelt wurden</w:t>
      </w:r>
      <w:r w:rsidR="00087CC8">
        <w:t xml:space="preserve"> und somit kurze zeitliche Abstände überrepräsentiert sind. Um dieser Verzerrung zu entgehen wird eine </w:t>
      </w:r>
      <w:r w:rsidR="00A52469">
        <w:t>Korrektur-</w:t>
      </w:r>
      <w:r w:rsidR="00087CC8">
        <w:t xml:space="preserve">Methode von </w:t>
      </w:r>
      <w:proofErr w:type="spellStart"/>
      <w:r w:rsidR="00087CC8">
        <w:t>Lawless</w:t>
      </w:r>
      <w:proofErr w:type="spellEnd"/>
      <w:r w:rsidR="00A9127D">
        <w:t>, 1994</w:t>
      </w:r>
      <w:r w:rsidR="00087CC8">
        <w:t xml:space="preserve"> </w:t>
      </w:r>
      <w:r w:rsidR="00087CC8">
        <w:fldChar w:fldCharType="begin"/>
      </w:r>
      <w:r w:rsidR="00087CC8">
        <w:instrText xml:space="preserve"> ADDIN EN.CITE &lt;EndNote&gt;&lt;Cite&gt;&lt;Author&gt;Lawless&lt;/Author&gt;&lt;Year&gt;1994&lt;/Year&gt;&lt;RecNum&gt;14&lt;/RecNum&gt;&lt;DisplayText&gt;(1)&lt;/DisplayText&gt;&lt;record&gt;&lt;rec-number&gt;14&lt;/rec-number&gt;&lt;foreign-keys&gt;&lt;key app="EN" db-id="2xzd2z00l0f0fkevea8peww0rzxdztsa0e02" timestamp="1584828763"&gt;14&lt;/key&gt;&lt;/foreign-keys&gt;&lt;ref-type name="Journal Article"&gt;17&lt;/ref-type&gt;&lt;contributors&gt;&lt;authors&gt;&lt;author&gt;Lawless, JF&lt;/author&gt;&lt;/authors&gt;&lt;/contributors&gt;&lt;titles&gt;&lt;title&gt;Adjustments for reporting delays and the prediction of occurred but not reported events&lt;/title&gt;&lt;secondary-title&gt;Canadian Journal of Statistics&lt;/secondary-title&gt;&lt;/titles&gt;&lt;periodical&gt;&lt;full-title&gt;Canadian Journal of Statistics&lt;/full-title&gt;&lt;/periodical&gt;&lt;pages&gt;15-31&lt;/pages&gt;&lt;volume&gt;22&lt;/volume&gt;&lt;number&gt;1&lt;/number&gt;&lt;dates&gt;&lt;year&gt;1994&lt;/year&gt;&lt;/dates&gt;&lt;isbn&gt;0319-5724&lt;/isbn&gt;&lt;urls&gt;&lt;/urls&gt;&lt;/record&gt;&lt;/Cite&gt;&lt;/EndNote&gt;</w:instrText>
      </w:r>
      <w:r w:rsidR="00087CC8">
        <w:fldChar w:fldCharType="separate"/>
      </w:r>
      <w:r w:rsidR="00087CC8">
        <w:rPr>
          <w:noProof/>
        </w:rPr>
        <w:t>(1)</w:t>
      </w:r>
      <w:r w:rsidR="00087CC8">
        <w:fldChar w:fldCharType="end"/>
      </w:r>
      <w:r w:rsidR="002A0654">
        <w:t xml:space="preserve"> verwendet, die den Verzug auf Grundlage von bedingten Wahrscheinlichkeit schätzt.</w:t>
      </w:r>
      <w:r w:rsidR="00041FC5" w:rsidRPr="00041FC5">
        <w:t xml:space="preserve"> </w:t>
      </w:r>
      <w:r w:rsidR="00041FC5">
        <w:t>Dabei wird die vereinfachende Annahme getroffen, dass die Meldeverzugsverteilung über die Zeit konstant ist.</w:t>
      </w:r>
    </w:p>
    <w:p w:rsidR="00CA7C0D" w:rsidRDefault="00C10DFA">
      <w:r>
        <w:t>Unter Berücksichtigung der Unsicherheit der Adjustierung nach dem Diagnose- und Meldeverzug und der Unsicherheit aufgrund der</w:t>
      </w:r>
      <w:r w:rsidR="00A52469">
        <w:t xml:space="preserve"> teilweise fehlenden Angaben zum</w:t>
      </w:r>
      <w:r>
        <w:t xml:space="preserve"> Erkrankungsbeginn</w:t>
      </w:r>
      <w:r w:rsidR="00056183">
        <w:t xml:space="preserve"> ergibt sich der adjustierte</w:t>
      </w:r>
      <w:r w:rsidR="00463E76">
        <w:t xml:space="preserve"> Verlauf (</w:t>
      </w:r>
      <w:proofErr w:type="spellStart"/>
      <w:r w:rsidR="00463E76">
        <w:t>Nowcasting</w:t>
      </w:r>
      <w:proofErr w:type="spellEnd"/>
      <w:r w:rsidR="00463E76">
        <w:t>) aus Abb. 5</w:t>
      </w:r>
      <w:r w:rsidR="00056183">
        <w:t>.</w:t>
      </w:r>
      <w:r w:rsidR="00B14157">
        <w:t xml:space="preserve"> Der Verlauf der Kurve aller gemeldeten Fälle liegt deutlicher unter dem geschätzten Verlauf der bereits erkrankten Fälle in Deutschland, die zum Teil noch nicht gemeldet worden sind. </w:t>
      </w:r>
      <w:r w:rsidR="0031160F">
        <w:t>D</w:t>
      </w:r>
      <w:r w:rsidR="00B14157">
        <w:t>er korrigierte Verlauf</w:t>
      </w:r>
      <w:r w:rsidR="0031160F">
        <w:t xml:space="preserve"> steigt stetig an und zeigt erst zuletzt eventuell </w:t>
      </w:r>
      <w:r w:rsidR="00B14157">
        <w:t>einen schwächeren Anstieg</w:t>
      </w:r>
      <w:r w:rsidR="0031160F">
        <w:t xml:space="preserve">, </w:t>
      </w:r>
      <w:r w:rsidR="00B05A88">
        <w:t xml:space="preserve">die Maßnahmen </w:t>
      </w:r>
      <w:r w:rsidR="00B14157">
        <w:t xml:space="preserve">zur Eindämmung der SARS-CoV-2 Epidemie </w:t>
      </w:r>
      <w:r w:rsidR="0031160F">
        <w:t xml:space="preserve">scheinen eine gewisse Verlangsamung bewirkt zu haben, die </w:t>
      </w:r>
      <w:proofErr w:type="spellStart"/>
      <w:r w:rsidR="0031160F">
        <w:t>Reproduktionrate</w:t>
      </w:r>
      <w:proofErr w:type="spellEnd"/>
      <w:r w:rsidR="0031160F">
        <w:t xml:space="preserve"> scheint etwas gefallen zu sein, aber weiterhin deutlich über 1 zu liegen</w:t>
      </w:r>
      <w:r w:rsidR="00B14157">
        <w:t xml:space="preserve">. </w:t>
      </w:r>
    </w:p>
    <w:p w:rsidR="002A0654" w:rsidRDefault="00AE5D0A">
      <w:r>
        <w:t>Dieser Trend</w:t>
      </w:r>
      <w:r w:rsidR="00B14157">
        <w:t xml:space="preserve"> muss in den nächsten Tagen </w:t>
      </w:r>
      <w:r>
        <w:t xml:space="preserve">weiter verfolgt </w:t>
      </w:r>
      <w:r w:rsidR="00B14157">
        <w:t xml:space="preserve">werden. </w:t>
      </w:r>
      <w:r w:rsidR="00B14157" w:rsidRPr="00804BDB">
        <w:t xml:space="preserve">Ein Vergleich mit der Schätzung mit Datenstand </w:t>
      </w:r>
      <w:r w:rsidR="00B05A88" w:rsidRPr="00804BDB">
        <w:t>der letzten Tage seit dem</w:t>
      </w:r>
      <w:r w:rsidR="00B14157" w:rsidRPr="00804BDB">
        <w:t xml:space="preserve"> 20. März </w:t>
      </w:r>
      <w:r w:rsidR="00CA7C0D" w:rsidRPr="00804BDB">
        <w:t>2020</w:t>
      </w:r>
      <w:r w:rsidR="00B14157" w:rsidRPr="00804BDB">
        <w:t xml:space="preserve"> in Abb. </w:t>
      </w:r>
      <w:r w:rsidR="00B05A88" w:rsidRPr="00804BDB">
        <w:t>6</w:t>
      </w:r>
      <w:r w:rsidR="00CA3BD9" w:rsidRPr="00804BDB">
        <w:t xml:space="preserve"> zeigt, dass </w:t>
      </w:r>
      <w:r>
        <w:t>die aktuelle Schätzung deutlich unter den Schätzungen der letzten Tage liegt, die sogar ein Anwachsen der Zahl bereits erkrankter Personen auf bis zu 200.000 Personen erwartet hatten</w:t>
      </w:r>
      <w:r w:rsidR="008A165E">
        <w:t xml:space="preserve">. </w:t>
      </w:r>
    </w:p>
    <w:p w:rsidR="008A165E" w:rsidRDefault="008A165E">
      <w:r>
        <w:t>Eine wichtige Annahme bei der Korrektur des Meldeverzugs ist die</w:t>
      </w:r>
      <w:r w:rsidR="0060030F">
        <w:t xml:space="preserve"> relative</w:t>
      </w:r>
      <w:r>
        <w:t xml:space="preserve"> Konstanz der Verteilung dieses Verzuges. Dies setzt gleichbleibende oder besser noch steigende Anstrengungen zur Testung von Verdachtsfällen voraus. Ein fallende</w:t>
      </w:r>
      <w:r w:rsidR="00B125AD">
        <w:t>r</w:t>
      </w:r>
      <w:r>
        <w:t xml:space="preserve"> Anteil von getesteten Fällen führt</w:t>
      </w:r>
      <w:r w:rsidR="00D63CC4">
        <w:t>e</w:t>
      </w:r>
      <w:r>
        <w:t xml:space="preserve"> zu einer Unterschätzung der Dynamik und </w:t>
      </w:r>
      <w:r w:rsidR="00D63CC4">
        <w:t>wäre</w:t>
      </w:r>
      <w:r>
        <w:t xml:space="preserve"> auch für die Bewältigung des Ausbruchs äußerst nachteilig.</w:t>
      </w:r>
    </w:p>
    <w:p w:rsidR="00A02D50" w:rsidRDefault="00A02D50">
      <w:r>
        <w:t xml:space="preserve">Eine Betrachtung der Entwicklung </w:t>
      </w:r>
      <w:r w:rsidR="00C243F5">
        <w:t>in den einzelnen Bundesländern deutet</w:t>
      </w:r>
      <w:r w:rsidR="00254263">
        <w:t xml:space="preserve"> darauf hin, dass der Anstieg der Zahl der Erkrankten am stärksten in Bayern, Baden-Württemberg, Schleswig-Holstein und Berlin war,</w:t>
      </w:r>
      <w:r w:rsidR="005A0C50">
        <w:t xml:space="preserve"> siehe Abb. 7</w:t>
      </w:r>
      <w:r w:rsidR="00254263">
        <w:t>.</w:t>
      </w:r>
      <w:r w:rsidR="005A0C50">
        <w:t xml:space="preserve"> B</w:t>
      </w:r>
      <w:r w:rsidR="00254263">
        <w:t>ei den absoluten Anzahlen dominieren Bayern, Baden-Württemberg und Nordrhein-Westfalen, siehe Abb.</w:t>
      </w:r>
      <w:r w:rsidR="005A0C50">
        <w:t xml:space="preserve"> 8</w:t>
      </w:r>
      <w:r w:rsidR="00C243F5">
        <w:t>.</w:t>
      </w:r>
    </w:p>
    <w:p w:rsidR="005A0C50" w:rsidRDefault="005A0C50">
      <w:r>
        <w:br w:type="page"/>
      </w:r>
    </w:p>
    <w:p w:rsidR="00087CC8" w:rsidRDefault="00087CC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3321D" w:rsidTr="0053321D">
        <w:tc>
          <w:tcPr>
            <w:tcW w:w="9212" w:type="dxa"/>
          </w:tcPr>
          <w:p w:rsidR="0053321D" w:rsidRDefault="0053321D">
            <w:r>
              <w:rPr>
                <w:noProof/>
                <w:lang w:eastAsia="de-DE"/>
              </w:rPr>
              <w:drawing>
                <wp:inline distT="0" distB="0" distL="0" distR="0">
                  <wp:extent cx="5363570" cy="3064307"/>
                  <wp:effectExtent l="0" t="0" r="8890" b="3175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ue_Fälle_Lawless_BLges_mi.em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304" cy="3069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21D" w:rsidTr="0053321D">
        <w:tc>
          <w:tcPr>
            <w:tcW w:w="9212" w:type="dxa"/>
          </w:tcPr>
          <w:p w:rsidR="0053321D" w:rsidRDefault="0053321D" w:rsidP="0053321D">
            <w:pPr>
              <w:spacing w:after="200" w:line="276" w:lineRule="auto"/>
            </w:pPr>
            <w:r w:rsidRPr="0053321D">
              <w:rPr>
                <w:noProof/>
                <w:lang w:eastAsia="de-DE"/>
              </w:rPr>
              <w:drawing>
                <wp:inline distT="0" distB="0" distL="0" distR="0" wp14:anchorId="0176689D" wp14:editId="36980B21">
                  <wp:extent cx="5315803" cy="3037016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llzahl_Lawless_BLges_mi.em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9187" cy="30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321D" w:rsidRDefault="0053321D"/>
        </w:tc>
      </w:tr>
    </w:tbl>
    <w:p w:rsidR="0053321D" w:rsidRDefault="0053321D"/>
    <w:p w:rsidR="00F85B14" w:rsidRDefault="00B14157" w:rsidP="00F85B14">
      <w:r>
        <w:t>Abb</w:t>
      </w:r>
      <w:r w:rsidR="00A57557">
        <w:t>.</w:t>
      </w:r>
      <w:r w:rsidR="00C64DC8">
        <w:t xml:space="preserve"> </w:t>
      </w:r>
      <w:r w:rsidR="00EB4F56">
        <w:t>5</w:t>
      </w:r>
      <w:r>
        <w:t xml:space="preserve">. </w:t>
      </w:r>
      <w:r w:rsidR="0025164D">
        <w:t xml:space="preserve">Geschätzte </w:t>
      </w:r>
      <w:r>
        <w:t xml:space="preserve">Entwicklung der Anzahl von gemeldeten SARS-CoV-2 Fällen in Deutschland nach teilweise </w:t>
      </w:r>
      <w:proofErr w:type="spellStart"/>
      <w:r>
        <w:t>imputierten</w:t>
      </w:r>
      <w:proofErr w:type="spellEnd"/>
      <w:r>
        <w:t xml:space="preserve"> Datum des Erkrankungsbeginns und </w:t>
      </w:r>
      <w:r w:rsidR="00085AE8">
        <w:t>für Meldeverzug adjustierte Kurve (</w:t>
      </w:r>
      <w:proofErr w:type="spellStart"/>
      <w:r w:rsidR="00085AE8">
        <w:t>Nowcast</w:t>
      </w:r>
      <w:proofErr w:type="spellEnd"/>
      <w:r w:rsidR="00085AE8">
        <w:t>)</w:t>
      </w:r>
      <w:r>
        <w:t xml:space="preserve">. </w:t>
      </w:r>
      <w:r w:rsidR="00F85B14">
        <w:t xml:space="preserve">Die gestrichelten Linien kennzeichnen den Start bestimmter Maßnahmen am </w:t>
      </w:r>
      <w:r w:rsidR="00D63CC4">
        <w:t>9</w:t>
      </w:r>
      <w:r w:rsidR="00F85B14">
        <w:t>. März, 16. März und 23. März, siehe Tab</w:t>
      </w:r>
      <w:r w:rsidR="00A57557">
        <w:t>.</w:t>
      </w:r>
      <w:r w:rsidR="00F85B14">
        <w:t xml:space="preserve"> 1.</w:t>
      </w:r>
    </w:p>
    <w:p w:rsidR="0025164D" w:rsidRDefault="0025164D"/>
    <w:p w:rsidR="002D1FAE" w:rsidRDefault="002D1FAE">
      <w:r>
        <w:br w:type="page"/>
      </w:r>
    </w:p>
    <w:p w:rsidR="00D52385" w:rsidRDefault="00D5238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D1FAE" w:rsidTr="002D1FAE">
        <w:tc>
          <w:tcPr>
            <w:tcW w:w="9212" w:type="dxa"/>
          </w:tcPr>
          <w:p w:rsidR="002D1FAE" w:rsidRDefault="002D1FAE">
            <w:r>
              <w:rPr>
                <w:noProof/>
                <w:lang w:eastAsia="de-DE"/>
              </w:rPr>
              <w:drawing>
                <wp:inline distT="0" distB="0" distL="0" distR="0" wp14:anchorId="61A9E63D" wp14:editId="4DF28DB9">
                  <wp:extent cx="5661500" cy="3234519"/>
                  <wp:effectExtent l="0" t="0" r="0" b="4445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ue_Fälle_Lawless_BLges_mi_compare.em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5104" cy="3236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FAE" w:rsidTr="002D1FAE">
        <w:tc>
          <w:tcPr>
            <w:tcW w:w="9212" w:type="dxa"/>
          </w:tcPr>
          <w:p w:rsidR="002D1FAE" w:rsidRDefault="0053321D">
            <w:r>
              <w:rPr>
                <w:noProof/>
                <w:lang w:eastAsia="de-DE"/>
              </w:rPr>
              <w:drawing>
                <wp:inline distT="0" distB="0" distL="0" distR="0">
                  <wp:extent cx="5760720" cy="3291205"/>
                  <wp:effectExtent l="0" t="0" r="0" b="4445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llzahl_Lawless_BLges_mi_compare.em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291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1FAE" w:rsidRDefault="002D1FAE"/>
    <w:p w:rsidR="00F85B14" w:rsidRDefault="0025164D" w:rsidP="00F85B14">
      <w:r>
        <w:t>Abb</w:t>
      </w:r>
      <w:r w:rsidR="00A57557">
        <w:t>.</w:t>
      </w:r>
      <w:r w:rsidR="005A0C50">
        <w:t xml:space="preserve"> </w:t>
      </w:r>
      <w:r w:rsidR="00EB4F56">
        <w:t>6</w:t>
      </w:r>
      <w:r>
        <w:t xml:space="preserve">. Vergleich der geschätzten Entwicklung der Anzahl von gemeldeten SARS-CoV-2 Fällen in Deutschland </w:t>
      </w:r>
      <w:r w:rsidR="00954507">
        <w:t>nach</w:t>
      </w:r>
      <w:r>
        <w:t xml:space="preserve"> teilweise </w:t>
      </w:r>
      <w:proofErr w:type="spellStart"/>
      <w:r>
        <w:t>imputierten</w:t>
      </w:r>
      <w:proofErr w:type="spellEnd"/>
      <w:r>
        <w:t xml:space="preserve"> Datum des Erkrankungsbeginns und für Meldeverzug adjustierte Kurve (</w:t>
      </w:r>
      <w:proofErr w:type="spellStart"/>
      <w:r>
        <w:t>Nowcast</w:t>
      </w:r>
      <w:proofErr w:type="spellEnd"/>
      <w:r>
        <w:t>)</w:t>
      </w:r>
      <w:r w:rsidR="00954507">
        <w:t xml:space="preserve"> nach Datenstand, ohne Konfidenz-Intervall</w:t>
      </w:r>
      <w:r>
        <w:t xml:space="preserve">. </w:t>
      </w:r>
      <w:r w:rsidR="00F85B14">
        <w:t xml:space="preserve">Die gestrichelten Linien kennzeichnen den Start bestimmter Maßnahmen am </w:t>
      </w:r>
      <w:r w:rsidR="00D63CC4">
        <w:t>9</w:t>
      </w:r>
      <w:r w:rsidR="00F85B14">
        <w:t xml:space="preserve">. März, 16. März und 23. März, </w:t>
      </w:r>
      <w:r w:rsidR="00F85B14">
        <w:br/>
        <w:t>siehe Tab</w:t>
      </w:r>
      <w:r w:rsidR="00A57557">
        <w:t>.</w:t>
      </w:r>
      <w:r w:rsidR="00F85B14">
        <w:t xml:space="preserve"> 1.</w:t>
      </w:r>
    </w:p>
    <w:p w:rsidR="00D227B0" w:rsidRDefault="00D227B0" w:rsidP="0025164D"/>
    <w:p w:rsidR="005A0C50" w:rsidRDefault="00A86B5A" w:rsidP="005A0C50">
      <w:r>
        <w:rPr>
          <w:noProof/>
          <w:lang w:eastAsia="de-DE"/>
        </w:rPr>
        <w:drawing>
          <wp:inline distT="0" distB="0" distL="0" distR="0">
            <wp:extent cx="5760720" cy="4189095"/>
            <wp:effectExtent l="0" t="0" r="0" b="1905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lzahl_Lawless_BL_mi_Bev.em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C50" w:rsidRPr="00335394" w:rsidRDefault="005A0C50" w:rsidP="005A0C50">
      <w:pPr>
        <w:rPr>
          <w:lang w:val="en-US"/>
        </w:rPr>
      </w:pPr>
      <w:r>
        <w:t xml:space="preserve">Abb. 7. Geschätzte Entwicklung der Anzahl von gemeldeten SARS-CoV-2 Fällen pro 100.000 in Deutschland nach teilweise </w:t>
      </w:r>
      <w:proofErr w:type="spellStart"/>
      <w:r>
        <w:t>imputierten</w:t>
      </w:r>
      <w:proofErr w:type="spellEnd"/>
      <w:r>
        <w:t xml:space="preserve"> Datum des Erkrankungsbeginns und für Meldeverzug adjustierte Kurve (</w:t>
      </w:r>
      <w:proofErr w:type="spellStart"/>
      <w:r>
        <w:t>Nowcast</w:t>
      </w:r>
      <w:proofErr w:type="spellEnd"/>
      <w:r>
        <w:t xml:space="preserve">) nach Bundesland. Die gestrichelten Linien kennzeichnen den Start bestimmter Maßnahmen am 9. März, 16. </w:t>
      </w:r>
      <w:proofErr w:type="spellStart"/>
      <w:r w:rsidRPr="00335394">
        <w:rPr>
          <w:lang w:val="en-US"/>
        </w:rPr>
        <w:t>März</w:t>
      </w:r>
      <w:proofErr w:type="spellEnd"/>
      <w:r w:rsidRPr="00335394">
        <w:rPr>
          <w:lang w:val="en-US"/>
        </w:rPr>
        <w:t xml:space="preserve"> und 23. </w:t>
      </w:r>
      <w:proofErr w:type="spellStart"/>
      <w:r w:rsidRPr="00335394">
        <w:rPr>
          <w:lang w:val="en-US"/>
        </w:rPr>
        <w:t>März</w:t>
      </w:r>
      <w:proofErr w:type="spellEnd"/>
      <w:r w:rsidRPr="00335394">
        <w:rPr>
          <w:lang w:val="en-US"/>
        </w:rPr>
        <w:t xml:space="preserve">, </w:t>
      </w:r>
      <w:proofErr w:type="spellStart"/>
      <w:r w:rsidRPr="00335394">
        <w:rPr>
          <w:lang w:val="en-US"/>
        </w:rPr>
        <w:t>siehe</w:t>
      </w:r>
      <w:proofErr w:type="spellEnd"/>
      <w:r w:rsidRPr="00335394">
        <w:rPr>
          <w:lang w:val="en-US"/>
        </w:rPr>
        <w:t xml:space="preserve"> Tab</w:t>
      </w:r>
      <w:r>
        <w:rPr>
          <w:lang w:val="en-US"/>
        </w:rPr>
        <w:t>.</w:t>
      </w:r>
      <w:r w:rsidRPr="00335394">
        <w:rPr>
          <w:lang w:val="en-US"/>
        </w:rPr>
        <w:t xml:space="preserve"> 1.</w:t>
      </w:r>
    </w:p>
    <w:p w:rsidR="005A0C50" w:rsidRDefault="005A0C50" w:rsidP="0025164D"/>
    <w:p w:rsidR="002126A3" w:rsidRDefault="00A86B5A" w:rsidP="0025164D">
      <w:r>
        <w:rPr>
          <w:noProof/>
          <w:lang w:eastAsia="de-DE"/>
        </w:rPr>
        <w:drawing>
          <wp:inline distT="0" distB="0" distL="0" distR="0">
            <wp:extent cx="5760720" cy="4189095"/>
            <wp:effectExtent l="0" t="0" r="0" b="1905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lzahl_Lawless_BL_mi.em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6A3" w:rsidRPr="00947332" w:rsidRDefault="002126A3" w:rsidP="002126A3">
      <w:pPr>
        <w:rPr>
          <w:lang w:val="en-GB"/>
        </w:rPr>
      </w:pPr>
      <w:r>
        <w:t>Abb</w:t>
      </w:r>
      <w:r w:rsidR="00A57557">
        <w:t>.</w:t>
      </w:r>
      <w:r w:rsidR="005A0C50">
        <w:t xml:space="preserve"> 8</w:t>
      </w:r>
      <w:r>
        <w:t xml:space="preserve">. Geschätzte Entwicklung der Anzahl von gemeldeten SARS-CoV-2 Fällen in Deutschland nach teilweise </w:t>
      </w:r>
      <w:proofErr w:type="spellStart"/>
      <w:r w:rsidR="005675C8">
        <w:t>imputiertem</w:t>
      </w:r>
      <w:proofErr w:type="spellEnd"/>
      <w:r w:rsidR="005675C8">
        <w:t xml:space="preserve"> </w:t>
      </w:r>
      <w:r>
        <w:t>Datum des Erkrankungsbeginns und für Meldeverzug adjustierte Kurve (</w:t>
      </w:r>
      <w:proofErr w:type="spellStart"/>
      <w:r>
        <w:t>Nowcast</w:t>
      </w:r>
      <w:proofErr w:type="spellEnd"/>
      <w:r>
        <w:t>)</w:t>
      </w:r>
      <w:r w:rsidR="008462F3">
        <w:t xml:space="preserve"> nach Bundesland</w:t>
      </w:r>
      <w:r>
        <w:t xml:space="preserve">. </w:t>
      </w:r>
      <w:r w:rsidR="00494D94">
        <w:t xml:space="preserve">Die gestrichelten Linien kennzeichnen den Start von bevölkerungsbezogenen Maßnahmen am </w:t>
      </w:r>
      <w:r w:rsidR="00D63CC4">
        <w:t>9</w:t>
      </w:r>
      <w:r w:rsidR="00494D94">
        <w:t xml:space="preserve">. </w:t>
      </w:r>
      <w:proofErr w:type="spellStart"/>
      <w:r w:rsidR="00494D94" w:rsidRPr="00947332">
        <w:rPr>
          <w:lang w:val="en-GB"/>
        </w:rPr>
        <w:t>März</w:t>
      </w:r>
      <w:proofErr w:type="spellEnd"/>
      <w:r w:rsidR="00494D94" w:rsidRPr="00947332">
        <w:rPr>
          <w:lang w:val="en-GB"/>
        </w:rPr>
        <w:t xml:space="preserve">, 16. </w:t>
      </w:r>
      <w:proofErr w:type="spellStart"/>
      <w:r w:rsidR="00494D94" w:rsidRPr="00947332">
        <w:rPr>
          <w:lang w:val="en-GB"/>
        </w:rPr>
        <w:t>März</w:t>
      </w:r>
      <w:proofErr w:type="spellEnd"/>
      <w:r w:rsidR="00494D94" w:rsidRPr="00947332">
        <w:rPr>
          <w:lang w:val="en-GB"/>
        </w:rPr>
        <w:t xml:space="preserve"> und 23. </w:t>
      </w:r>
      <w:proofErr w:type="spellStart"/>
      <w:r w:rsidR="00494D94" w:rsidRPr="00947332">
        <w:rPr>
          <w:lang w:val="en-GB"/>
        </w:rPr>
        <w:t>März</w:t>
      </w:r>
      <w:proofErr w:type="spellEnd"/>
      <w:r w:rsidR="00494D94" w:rsidRPr="00947332">
        <w:rPr>
          <w:lang w:val="en-GB"/>
        </w:rPr>
        <w:t xml:space="preserve">, </w:t>
      </w:r>
      <w:proofErr w:type="spellStart"/>
      <w:r w:rsidR="00494D94" w:rsidRPr="00947332">
        <w:rPr>
          <w:lang w:val="en-GB"/>
        </w:rPr>
        <w:t>siehe</w:t>
      </w:r>
      <w:proofErr w:type="spellEnd"/>
      <w:r w:rsidR="00494D94" w:rsidRPr="00947332">
        <w:rPr>
          <w:lang w:val="en-GB"/>
        </w:rPr>
        <w:t xml:space="preserve"> Tab</w:t>
      </w:r>
      <w:r w:rsidR="00A57557" w:rsidRPr="00947332">
        <w:rPr>
          <w:lang w:val="en-GB"/>
        </w:rPr>
        <w:t>.</w:t>
      </w:r>
      <w:r w:rsidR="00494D94" w:rsidRPr="00947332">
        <w:rPr>
          <w:lang w:val="en-GB"/>
        </w:rPr>
        <w:t xml:space="preserve"> 1.</w:t>
      </w:r>
    </w:p>
    <w:p w:rsidR="003C628E" w:rsidRPr="00947332" w:rsidRDefault="003C628E" w:rsidP="002126A3">
      <w:pPr>
        <w:rPr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D2CFA" w:rsidTr="009D2CFA">
        <w:tc>
          <w:tcPr>
            <w:tcW w:w="9212" w:type="dxa"/>
          </w:tcPr>
          <w:p w:rsidR="009D2CFA" w:rsidRDefault="009D2CFA" w:rsidP="002126A3">
            <w:pPr>
              <w:rPr>
                <w:lang w:val="en-US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50096" cy="3678072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timate_R0_ED_sim_Lawless.emf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1317" cy="3678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CFA" w:rsidTr="009D2CFA">
        <w:tc>
          <w:tcPr>
            <w:tcW w:w="9212" w:type="dxa"/>
          </w:tcPr>
          <w:p w:rsidR="009D2CFA" w:rsidRDefault="009D2CFA" w:rsidP="002126A3">
            <w:pPr>
              <w:rPr>
                <w:lang w:val="en-US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56496" cy="3611225"/>
                  <wp:effectExtent l="0" t="0" r="0" b="889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timate_R0_ED_sim_Lawless.emf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7694" cy="3612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4D94" w:rsidRDefault="00494D94" w:rsidP="002126A3">
      <w:pPr>
        <w:rPr>
          <w:lang w:val="en-US"/>
        </w:rPr>
      </w:pPr>
    </w:p>
    <w:p w:rsidR="009D2CFA" w:rsidRPr="00335394" w:rsidRDefault="009D2CFA" w:rsidP="002126A3">
      <w:pPr>
        <w:rPr>
          <w:lang w:val="en-US"/>
        </w:rPr>
      </w:pPr>
      <w:proofErr w:type="gramStart"/>
      <w:r>
        <w:rPr>
          <w:lang w:val="en-US"/>
        </w:rPr>
        <w:t>Abb. 9.</w:t>
      </w:r>
      <w:proofErr w:type="gramEnd"/>
      <w:r>
        <w:rPr>
          <w:lang w:val="en-US"/>
        </w:rPr>
        <w:t xml:space="preserve"> R-</w:t>
      </w:r>
      <w:proofErr w:type="spellStart"/>
      <w:r>
        <w:rPr>
          <w:lang w:val="en-US"/>
        </w:rPr>
        <w:t>Schätzung</w:t>
      </w:r>
      <w:proofErr w:type="spellEnd"/>
    </w:p>
    <w:p w:rsidR="0025164D" w:rsidRPr="00335394" w:rsidRDefault="0025164D">
      <w:pPr>
        <w:rPr>
          <w:lang w:val="en-US"/>
        </w:rPr>
      </w:pPr>
    </w:p>
    <w:p w:rsidR="00087CC8" w:rsidRPr="00335394" w:rsidRDefault="001B5F31">
      <w:pPr>
        <w:rPr>
          <w:lang w:val="en-US"/>
        </w:rPr>
      </w:pPr>
      <w:proofErr w:type="spellStart"/>
      <w:r w:rsidRPr="00335394">
        <w:rPr>
          <w:lang w:val="en-US"/>
        </w:rPr>
        <w:t>Literatur</w:t>
      </w:r>
      <w:proofErr w:type="spellEnd"/>
    </w:p>
    <w:p w:rsidR="00087CC8" w:rsidRPr="00087CC8" w:rsidRDefault="00087CC8" w:rsidP="00087CC8">
      <w:pPr>
        <w:pStyle w:val="EndNoteBibliography"/>
      </w:pPr>
      <w:r>
        <w:fldChar w:fldCharType="begin"/>
      </w:r>
      <w:r w:rsidRPr="00E176EE">
        <w:instrText xml:space="preserve"> ADDIN EN.REFLIST </w:instrText>
      </w:r>
      <w:r>
        <w:fldChar w:fldCharType="separate"/>
      </w:r>
      <w:r w:rsidRPr="00E176EE">
        <w:t>1.</w:t>
      </w:r>
      <w:r w:rsidRPr="00E176EE">
        <w:tab/>
        <w:t>Lawless J. Adjus</w:t>
      </w:r>
      <w:r w:rsidRPr="00087CC8">
        <w:t>tments for reporting delays and the prediction of occurred but not reported events. Canadian Journal of Statistics. 1994;22(1):15-31.</w:t>
      </w:r>
    </w:p>
    <w:p w:rsidR="00087CC8" w:rsidRDefault="00087CC8">
      <w:r>
        <w:fldChar w:fldCharType="end"/>
      </w:r>
    </w:p>
    <w:sectPr w:rsidR="00087C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57" w:rsidRDefault="00347657" w:rsidP="00347657">
      <w:pPr>
        <w:spacing w:after="0" w:line="240" w:lineRule="auto"/>
      </w:pPr>
      <w:r>
        <w:separator/>
      </w:r>
    </w:p>
  </w:endnote>
  <w:endnote w:type="continuationSeparator" w:id="0">
    <w:p w:rsidR="00347657" w:rsidRDefault="00347657" w:rsidP="00347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57" w:rsidRDefault="00347657" w:rsidP="00347657">
      <w:pPr>
        <w:spacing w:after="0" w:line="240" w:lineRule="auto"/>
      </w:pPr>
      <w:r>
        <w:separator/>
      </w:r>
    </w:p>
  </w:footnote>
  <w:footnote w:type="continuationSeparator" w:id="0">
    <w:p w:rsidR="00347657" w:rsidRDefault="00347657" w:rsidP="00347657">
      <w:pPr>
        <w:spacing w:after="0" w:line="240" w:lineRule="auto"/>
      </w:pPr>
      <w:r>
        <w:continuationSeparator/>
      </w:r>
    </w:p>
  </w:footnote>
  <w:footnote w:id="1">
    <w:p w:rsidR="00347657" w:rsidRDefault="00347657">
      <w:pPr>
        <w:pStyle w:val="Funotentext"/>
      </w:pPr>
      <w:r>
        <w:rPr>
          <w:rStyle w:val="Funotenzeichen"/>
        </w:rPr>
        <w:footnoteRef/>
      </w:r>
      <w:r>
        <w:t xml:space="preserve"> Anmerkung: Kleine negative Abstände könnten zu Fällen gehören, die erst nach dem positiven Test Symptome entwickelt haben.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0&lt;/ScanUnformatted&gt;&lt;ScanChanges&gt;0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xzd2z00l0f0fkevea8peww0rzxdztsa0e02&quot;&gt;Library_CoViD&lt;record-ids&gt;&lt;item&gt;14&lt;/item&gt;&lt;/record-ids&gt;&lt;/item&gt;&lt;/Libraries&gt;"/>
  </w:docVars>
  <w:rsids>
    <w:rsidRoot w:val="00C57E9A"/>
    <w:rsid w:val="00041FC5"/>
    <w:rsid w:val="00056183"/>
    <w:rsid w:val="00060754"/>
    <w:rsid w:val="00085AE8"/>
    <w:rsid w:val="00087CC8"/>
    <w:rsid w:val="000B76F0"/>
    <w:rsid w:val="000D168F"/>
    <w:rsid w:val="000D2659"/>
    <w:rsid w:val="000F4301"/>
    <w:rsid w:val="001159F0"/>
    <w:rsid w:val="0015774E"/>
    <w:rsid w:val="001B5F31"/>
    <w:rsid w:val="001F7101"/>
    <w:rsid w:val="00206A02"/>
    <w:rsid w:val="00207ED4"/>
    <w:rsid w:val="00211929"/>
    <w:rsid w:val="002126A3"/>
    <w:rsid w:val="00232760"/>
    <w:rsid w:val="00235C0A"/>
    <w:rsid w:val="00244E6C"/>
    <w:rsid w:val="0025164D"/>
    <w:rsid w:val="00254263"/>
    <w:rsid w:val="002A0654"/>
    <w:rsid w:val="002A6FD4"/>
    <w:rsid w:val="002C72C3"/>
    <w:rsid w:val="002D1FAE"/>
    <w:rsid w:val="002F3D84"/>
    <w:rsid w:val="002F7FDB"/>
    <w:rsid w:val="0031160F"/>
    <w:rsid w:val="003172F0"/>
    <w:rsid w:val="00324A9C"/>
    <w:rsid w:val="00335394"/>
    <w:rsid w:val="003400E7"/>
    <w:rsid w:val="00347657"/>
    <w:rsid w:val="00367EF4"/>
    <w:rsid w:val="003A7527"/>
    <w:rsid w:val="003B0123"/>
    <w:rsid w:val="003C628E"/>
    <w:rsid w:val="0040581C"/>
    <w:rsid w:val="004517CA"/>
    <w:rsid w:val="00463E76"/>
    <w:rsid w:val="004657B4"/>
    <w:rsid w:val="00494D94"/>
    <w:rsid w:val="004E4629"/>
    <w:rsid w:val="004E62A6"/>
    <w:rsid w:val="0053321D"/>
    <w:rsid w:val="00552370"/>
    <w:rsid w:val="00554250"/>
    <w:rsid w:val="005675C8"/>
    <w:rsid w:val="00567957"/>
    <w:rsid w:val="005A0C50"/>
    <w:rsid w:val="005B4821"/>
    <w:rsid w:val="005C6998"/>
    <w:rsid w:val="0060030F"/>
    <w:rsid w:val="006172CD"/>
    <w:rsid w:val="00651913"/>
    <w:rsid w:val="00655CA7"/>
    <w:rsid w:val="006929B6"/>
    <w:rsid w:val="006B06E7"/>
    <w:rsid w:val="006D75EB"/>
    <w:rsid w:val="006E4913"/>
    <w:rsid w:val="00705C7A"/>
    <w:rsid w:val="0071446A"/>
    <w:rsid w:val="007170FF"/>
    <w:rsid w:val="007835E3"/>
    <w:rsid w:val="007A113E"/>
    <w:rsid w:val="007E78AF"/>
    <w:rsid w:val="00804BDB"/>
    <w:rsid w:val="00812B8D"/>
    <w:rsid w:val="00834067"/>
    <w:rsid w:val="00835E67"/>
    <w:rsid w:val="00842FCC"/>
    <w:rsid w:val="008462F3"/>
    <w:rsid w:val="008551FB"/>
    <w:rsid w:val="008A0C68"/>
    <w:rsid w:val="008A165E"/>
    <w:rsid w:val="008E0544"/>
    <w:rsid w:val="008F51CB"/>
    <w:rsid w:val="00941D67"/>
    <w:rsid w:val="00947332"/>
    <w:rsid w:val="00954507"/>
    <w:rsid w:val="00991C82"/>
    <w:rsid w:val="009A308D"/>
    <w:rsid w:val="009D2CFA"/>
    <w:rsid w:val="009D5609"/>
    <w:rsid w:val="009E1A1E"/>
    <w:rsid w:val="009F5A07"/>
    <w:rsid w:val="00A02224"/>
    <w:rsid w:val="00A02D50"/>
    <w:rsid w:val="00A0649C"/>
    <w:rsid w:val="00A509E7"/>
    <w:rsid w:val="00A52469"/>
    <w:rsid w:val="00A57557"/>
    <w:rsid w:val="00A730BB"/>
    <w:rsid w:val="00A81A49"/>
    <w:rsid w:val="00A86B5A"/>
    <w:rsid w:val="00A9127D"/>
    <w:rsid w:val="00AB3F96"/>
    <w:rsid w:val="00AE0F3D"/>
    <w:rsid w:val="00AE5D0A"/>
    <w:rsid w:val="00AF36D9"/>
    <w:rsid w:val="00B05A88"/>
    <w:rsid w:val="00B125AD"/>
    <w:rsid w:val="00B14157"/>
    <w:rsid w:val="00B8045F"/>
    <w:rsid w:val="00B912CF"/>
    <w:rsid w:val="00BE5720"/>
    <w:rsid w:val="00C02E71"/>
    <w:rsid w:val="00C10DFA"/>
    <w:rsid w:val="00C243F5"/>
    <w:rsid w:val="00C3796A"/>
    <w:rsid w:val="00C47032"/>
    <w:rsid w:val="00C57E9A"/>
    <w:rsid w:val="00C600F1"/>
    <w:rsid w:val="00C60198"/>
    <w:rsid w:val="00C64DC8"/>
    <w:rsid w:val="00CA3BD9"/>
    <w:rsid w:val="00CA733E"/>
    <w:rsid w:val="00CA7C0D"/>
    <w:rsid w:val="00D17866"/>
    <w:rsid w:val="00D227B0"/>
    <w:rsid w:val="00D32B49"/>
    <w:rsid w:val="00D34DFA"/>
    <w:rsid w:val="00D52385"/>
    <w:rsid w:val="00D557BF"/>
    <w:rsid w:val="00D63CC4"/>
    <w:rsid w:val="00DE5D31"/>
    <w:rsid w:val="00DF7D78"/>
    <w:rsid w:val="00E176EE"/>
    <w:rsid w:val="00E4527F"/>
    <w:rsid w:val="00E85B07"/>
    <w:rsid w:val="00E96AA5"/>
    <w:rsid w:val="00EB4F56"/>
    <w:rsid w:val="00EC1C68"/>
    <w:rsid w:val="00ED7521"/>
    <w:rsid w:val="00EE2749"/>
    <w:rsid w:val="00F11BE0"/>
    <w:rsid w:val="00F36FC7"/>
    <w:rsid w:val="00F4425D"/>
    <w:rsid w:val="00F6366F"/>
    <w:rsid w:val="00F8273A"/>
    <w:rsid w:val="00F85B14"/>
    <w:rsid w:val="00FA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57E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55C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57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76F0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Standard"/>
    <w:link w:val="EndNoteBibliographyTitleZchn"/>
    <w:rsid w:val="00087CC8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087CC8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087CC8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087CC8"/>
    <w:rPr>
      <w:rFonts w:ascii="Calibri" w:hAnsi="Calibri" w:cs="Calibri"/>
      <w:noProof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636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36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36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36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366F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34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55C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4765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4765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476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57E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55C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57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76F0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Standard"/>
    <w:link w:val="EndNoteBibliographyTitleZchn"/>
    <w:rsid w:val="00087CC8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087CC8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087CC8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087CC8"/>
    <w:rPr>
      <w:rFonts w:ascii="Calibri" w:hAnsi="Calibri" w:cs="Calibri"/>
      <w:noProof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636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36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36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36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366F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34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55C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4765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4765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476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4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4EB7E-D017-4510-9805-1A9DE1997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1478</Words>
  <Characters>9312</Characters>
  <Application>Microsoft Office Word</Application>
  <DocSecurity>4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der Heiden, Matthias</dc:creator>
  <cp:lastModifiedBy>Rexroth, Ute</cp:lastModifiedBy>
  <cp:revision>2</cp:revision>
  <dcterms:created xsi:type="dcterms:W3CDTF">2020-03-27T13:59:00Z</dcterms:created>
  <dcterms:modified xsi:type="dcterms:W3CDTF">2020-03-27T13:59:00Z</dcterms:modified>
</cp:coreProperties>
</file>