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01.04.2020,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Synromische</w:t>
            </w:r>
            <w:proofErr w:type="spellEnd"/>
            <w:r>
              <w:t xml:space="preserve"> Surveillance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Steigerungsraten, R0 und </w:t>
            </w:r>
            <w:proofErr w:type="spellStart"/>
            <w:r>
              <w:t>Nowcast</w:t>
            </w:r>
            <w:proofErr w:type="spellEnd"/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Auswertungen zu schweren Fällen (IfSG)</w:t>
            </w:r>
          </w:p>
        </w:tc>
        <w:tc>
          <w:tcPr>
            <w:tcW w:w="1818" w:type="dxa"/>
          </w:tcPr>
          <w:p/>
          <w:p>
            <w:r>
              <w:t>ZIG1</w:t>
            </w:r>
          </w:p>
          <w:p/>
          <w:p/>
          <w:p/>
          <w:p>
            <w:r>
              <w:br/>
              <w:t>FG32</w:t>
            </w:r>
          </w:p>
          <w:p/>
          <w:p>
            <w:r>
              <w:t>FG36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626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Darstellung von Steigerungsraten, Verdopplungszahlen und R0</w:t>
            </w: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Stand Dokument - Umgang mit Leichen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Optionen getrennte Patientenversorgung ambulant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Stand Flussdiagramm für Bürger </w:t>
            </w:r>
          </w:p>
        </w:tc>
        <w:tc>
          <w:tcPr>
            <w:tcW w:w="1818" w:type="dxa"/>
          </w:tcPr>
          <w:p/>
          <w:p>
            <w:r>
              <w:t>IBBS</w:t>
            </w:r>
          </w:p>
          <w:p>
            <w:r>
              <w:t>FG37</w:t>
            </w:r>
          </w:p>
          <w:p>
            <w:r>
              <w:t>IBBS</w:t>
            </w:r>
          </w:p>
        </w:tc>
      </w:tr>
      <w:tr>
        <w:tc>
          <w:tcPr>
            <w:tcW w:w="631" w:type="dxa"/>
          </w:tcPr>
          <w:p>
            <w:r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AG Teststrategien</w:t>
            </w:r>
          </w:p>
        </w:tc>
        <w:tc>
          <w:tcPr>
            <w:tcW w:w="1818" w:type="dxa"/>
          </w:tcPr>
          <w:p>
            <w:r>
              <w:t>FG17/ZBS1</w:t>
            </w:r>
          </w:p>
          <w:p>
            <w:r>
              <w:t>AL1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Entlasskriterien</w:t>
            </w:r>
            <w:proofErr w:type="spellEnd"/>
            <w:r>
              <w:t xml:space="preserve"> - ambulanter Bereich</w:t>
            </w:r>
          </w:p>
        </w:tc>
        <w:tc>
          <w:tcPr>
            <w:tcW w:w="1818" w:type="dxa"/>
          </w:tcPr>
          <w:p/>
          <w:p>
            <w:r>
              <w:t>FG36/IBBS/FG32</w:t>
            </w:r>
          </w:p>
        </w:tc>
      </w:tr>
      <w:tr>
        <w:tc>
          <w:tcPr>
            <w:tcW w:w="631" w:type="dxa"/>
          </w:tcPr>
          <w:p>
            <w:r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Maskenpflicht?</w:t>
            </w: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Update verschiedene </w:t>
            </w:r>
            <w:proofErr w:type="spellStart"/>
            <w:r>
              <w:t>Surveillanceintrumente</w:t>
            </w:r>
            <w:proofErr w:type="spellEnd"/>
            <w:r>
              <w:t xml:space="preserve"> zur Schwere</w:t>
            </w:r>
          </w:p>
        </w:tc>
        <w:tc>
          <w:tcPr>
            <w:tcW w:w="1818" w:type="dxa"/>
          </w:tcPr>
          <w:p/>
          <w:p>
            <w:r>
              <w:t>FG32, 36 und 37</w:t>
            </w:r>
          </w:p>
        </w:tc>
      </w:tr>
      <w:tr>
        <w:tc>
          <w:tcPr>
            <w:tcW w:w="631" w:type="dxa"/>
          </w:tcPr>
          <w:p>
            <w:r>
              <w:lastRenderedPageBreak/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Anordnungen gemäß Gesetz zum Schutz der Bevölkerung von nationaler Tragweite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BMG-Anfrage: RKI-Stellungnahme gehen Reduktion der Frequenzen im ÖNV?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AKKÜ bittet Bund um zentrale </w:t>
            </w:r>
            <w:proofErr w:type="spellStart"/>
            <w:r>
              <w:t>Koordnierung</w:t>
            </w:r>
            <w:proofErr w:type="spellEnd"/>
            <w:r>
              <w:t xml:space="preserve"> bezgl. Kreuzfahrtschiffen</w:t>
            </w: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xx.03.2020, xx:00-xx:30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F85C8-AD8D-46B3-9583-21B1554B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8</cp:revision>
  <cp:lastPrinted>2020-03-13T12:00:00Z</cp:lastPrinted>
  <dcterms:created xsi:type="dcterms:W3CDTF">2020-04-01T06:28:00Z</dcterms:created>
  <dcterms:modified xsi:type="dcterms:W3CDTF">2022-12-22T11:13:00Z</dcterms:modified>
</cp:coreProperties>
</file>