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67" w:rsidRDefault="005F7F67" w:rsidP="005F7F67">
      <w:pPr>
        <w:pStyle w:val="Titel"/>
      </w:pPr>
      <w:r>
        <w:t xml:space="preserve">COVID-19 </w:t>
      </w:r>
    </w:p>
    <w:p w:rsidR="00EB5FEC" w:rsidRDefault="00EB5FEC" w:rsidP="00B619F2">
      <w:pPr>
        <w:pStyle w:val="Listenabsatz"/>
        <w:ind w:left="0"/>
      </w:pPr>
    </w:p>
    <w:p w:rsidR="00D774C9" w:rsidRDefault="00F100A4" w:rsidP="00F100A4">
      <w:pPr>
        <w:pStyle w:val="berschrift3"/>
      </w:pPr>
      <w:r>
        <w:t xml:space="preserve">Vorläufige </w:t>
      </w:r>
      <w:r w:rsidR="00D774C9">
        <w:t xml:space="preserve">Bewertung der Krankheitsschwere </w:t>
      </w:r>
      <w:r>
        <w:t xml:space="preserve">von COVID-19 </w:t>
      </w:r>
      <w:r w:rsidR="00D774C9">
        <w:t>anhand der Meldungen gemäß Infektionsschutzgesetz</w:t>
      </w:r>
    </w:p>
    <w:p w:rsidR="00D774C9" w:rsidRDefault="00F100A4" w:rsidP="00B619F2">
      <w:pPr>
        <w:pStyle w:val="Listenabsatz"/>
        <w:ind w:left="0"/>
      </w:pPr>
      <w:r>
        <w:t xml:space="preserve">Nachfolgend werden erste Auswertungen zur Krankheitsschwere präsentiert. Diese Auswertungen haben einen </w:t>
      </w:r>
      <w:r w:rsidRPr="00F100A4">
        <w:rPr>
          <w:b/>
        </w:rPr>
        <w:t>sehr vorläufigen Charakter</w:t>
      </w:r>
      <w:r>
        <w:t xml:space="preserve"> und werden im Verlauf der Epidemie in zeitlichen Abständen an die jeweiligen Phasen angepasst wiederholt. Eine </w:t>
      </w:r>
      <w:r w:rsidRPr="00F100A4">
        <w:rPr>
          <w:b/>
        </w:rPr>
        <w:t>verlässlichere Gesamtbeurteilung</w:t>
      </w:r>
      <w:r>
        <w:t xml:space="preserve"> der Krankheitsschwere kann allerdings frühestens </w:t>
      </w:r>
      <w:r w:rsidRPr="00F100A4">
        <w:rPr>
          <w:b/>
        </w:rPr>
        <w:t>nach dem Überschreiten des Höhepunkts</w:t>
      </w:r>
      <w:r>
        <w:t xml:space="preserve"> der ersten epidemischen Welle inklusive einer gewissen Zeitreserve zur Erfassung der schwereren Krankheitsverläufe in Deutschland </w:t>
      </w:r>
      <w:r w:rsidR="00CD1451">
        <w:t>b</w:t>
      </w:r>
      <w:r>
        <w:t>erechnet werden (siehe Vorbemerkungen).</w:t>
      </w:r>
    </w:p>
    <w:p w:rsidR="00F100A4" w:rsidRDefault="00F100A4" w:rsidP="00B619F2">
      <w:pPr>
        <w:pStyle w:val="Listenabsatz"/>
        <w:ind w:left="0"/>
      </w:pPr>
    </w:p>
    <w:p w:rsidR="00F100A4" w:rsidRDefault="0097739A" w:rsidP="00B619F2">
      <w:pPr>
        <w:pStyle w:val="Listenabsatz"/>
        <w:ind w:left="0"/>
      </w:pPr>
      <w:r w:rsidRPr="005D18BF">
        <w:rPr>
          <w:b/>
        </w:rPr>
        <w:t>Grundlage der Auswertung</w:t>
      </w:r>
      <w:r>
        <w:t xml:space="preserve"> sind die </w:t>
      </w:r>
      <w:r w:rsidR="009216A4">
        <w:t xml:space="preserve">bis zum </w:t>
      </w:r>
      <w:r w:rsidR="008A12E6">
        <w:t>30</w:t>
      </w:r>
      <w:r w:rsidR="009216A4">
        <w:t xml:space="preserve">.03.2020 um 24:00 Uhr </w:t>
      </w:r>
      <w:r>
        <w:t xml:space="preserve">an das RKI übermittelten, labordiagnostisch bestätigten und vom RKI validierten COVID-19-Fälle in Deutschland mit Datenstand </w:t>
      </w:r>
      <w:r w:rsidR="008A12E6">
        <w:t>31</w:t>
      </w:r>
      <w:r>
        <w:t xml:space="preserve">.03.2020 um 0:00 Uhr (n = </w:t>
      </w:r>
      <w:r w:rsidR="008A12E6">
        <w:t>61.913</w:t>
      </w:r>
      <w:r>
        <w:t xml:space="preserve">). </w:t>
      </w:r>
    </w:p>
    <w:p w:rsidR="0097739A" w:rsidRDefault="0097739A" w:rsidP="00B619F2">
      <w:pPr>
        <w:pStyle w:val="Listenabsatz"/>
        <w:ind w:left="0"/>
      </w:pPr>
      <w:r>
        <w:t>Nachfolgend wird für die einzelnen Berechnungen jeweils auch angegeben, auf welche Fallzahl mit entsprechenden Angaben zu den untersuchten Parametern sich die Auswertung bezieht.</w:t>
      </w:r>
    </w:p>
    <w:p w:rsidR="0097739A" w:rsidRPr="006A2D85" w:rsidRDefault="0097739A" w:rsidP="008A12E6">
      <w:pPr>
        <w:rPr>
          <w:b/>
          <w:u w:val="single"/>
        </w:rPr>
      </w:pPr>
      <w:r w:rsidRPr="006A2D85">
        <w:rPr>
          <w:b/>
          <w:u w:val="single"/>
        </w:rPr>
        <w:t xml:space="preserve">Folgende zusätzliche </w:t>
      </w:r>
      <w:r w:rsidR="009216A4" w:rsidRPr="006A2D85">
        <w:rPr>
          <w:b/>
          <w:u w:val="single"/>
        </w:rPr>
        <w:t>Einschränkungen</w:t>
      </w:r>
      <w:r w:rsidRPr="006A2D85">
        <w:rPr>
          <w:b/>
          <w:u w:val="single"/>
        </w:rPr>
        <w:t xml:space="preserve"> wurden vorgenommen: </w:t>
      </w:r>
    </w:p>
    <w:p w:rsidR="009216A4" w:rsidRPr="00A31DBA" w:rsidRDefault="009216A4" w:rsidP="00B619F2">
      <w:pPr>
        <w:pStyle w:val="Listenabsatz"/>
        <w:ind w:left="0"/>
        <w:rPr>
          <w:color w:val="000000" w:themeColor="text1"/>
        </w:rPr>
      </w:pPr>
      <w:r>
        <w:t xml:space="preserve">1. nur Fälle mit Angabe Meldedatum </w:t>
      </w:r>
      <w:r w:rsidRPr="00A31DBA">
        <w:rPr>
          <w:color w:val="000000" w:themeColor="text1"/>
        </w:rPr>
        <w:t xml:space="preserve">bis </w:t>
      </w:r>
      <w:r w:rsidR="00A31DBA" w:rsidRPr="00A31DBA">
        <w:rPr>
          <w:color w:val="000000" w:themeColor="text1"/>
        </w:rPr>
        <w:t>einschließlich 16</w:t>
      </w:r>
      <w:r w:rsidRPr="00A31DBA">
        <w:rPr>
          <w:color w:val="000000" w:themeColor="text1"/>
        </w:rPr>
        <w:t>.03.2020 (Datenstand minus 14 Tage</w:t>
      </w:r>
      <w:r w:rsidR="00CD1451" w:rsidRPr="00A31DBA">
        <w:rPr>
          <w:color w:val="000000" w:themeColor="text1"/>
        </w:rPr>
        <w:t>,</w:t>
      </w:r>
      <w:r w:rsidRPr="00A31DBA">
        <w:rPr>
          <w:color w:val="000000" w:themeColor="text1"/>
        </w:rPr>
        <w:t xml:space="preserve"> um Zeitverzug für </w:t>
      </w:r>
      <w:r w:rsidR="00CD1451" w:rsidRPr="00A31DBA">
        <w:rPr>
          <w:color w:val="000000" w:themeColor="text1"/>
        </w:rPr>
        <w:t xml:space="preserve">Erfassung </w:t>
      </w:r>
      <w:r w:rsidRPr="00A31DBA">
        <w:rPr>
          <w:color w:val="000000" w:themeColor="text1"/>
        </w:rPr>
        <w:t xml:space="preserve">Krankheitsverlauf schwere Fälle zu berücksichtigen): </w:t>
      </w:r>
      <w:r w:rsidRPr="00A31DBA">
        <w:rPr>
          <w:color w:val="000000" w:themeColor="text1"/>
        </w:rPr>
        <w:tab/>
      </w:r>
      <w:r w:rsidRPr="00A31DBA">
        <w:rPr>
          <w:color w:val="000000" w:themeColor="text1"/>
        </w:rPr>
        <w:tab/>
      </w:r>
      <w:r w:rsidRPr="00A31DBA">
        <w:rPr>
          <w:b/>
          <w:color w:val="000000" w:themeColor="text1"/>
        </w:rPr>
        <w:t xml:space="preserve">n = </w:t>
      </w:r>
      <w:r w:rsidR="00A31DBA" w:rsidRPr="00A31DBA">
        <w:rPr>
          <w:b/>
          <w:color w:val="000000" w:themeColor="text1"/>
        </w:rPr>
        <w:t>9.173</w:t>
      </w:r>
    </w:p>
    <w:p w:rsidR="009216A4" w:rsidRDefault="009216A4" w:rsidP="00B619F2">
      <w:pPr>
        <w:pStyle w:val="Listenabsatz"/>
        <w:ind w:left="0"/>
        <w:rPr>
          <w:b/>
          <w:color w:val="000000" w:themeColor="text1"/>
        </w:rPr>
      </w:pPr>
      <w:r w:rsidRPr="00A31DBA">
        <w:rPr>
          <w:color w:val="000000" w:themeColor="text1"/>
        </w:rPr>
        <w:t xml:space="preserve">2. darunter nur </w:t>
      </w:r>
      <w:r w:rsidRPr="00A31DBA">
        <w:rPr>
          <w:b/>
          <w:color w:val="000000" w:themeColor="text1"/>
        </w:rPr>
        <w:t>Fälle mit Altersangabe</w:t>
      </w:r>
      <w:r w:rsidR="00DC7163" w:rsidRPr="00A31DBA">
        <w:rPr>
          <w:color w:val="000000" w:themeColor="text1"/>
        </w:rPr>
        <w:t xml:space="preserve"> (Gesamtzahl)</w:t>
      </w:r>
      <w:r w:rsidRPr="00A31DBA">
        <w:rPr>
          <w:color w:val="000000" w:themeColor="text1"/>
        </w:rPr>
        <w:t xml:space="preserve">: </w:t>
      </w:r>
      <w:r w:rsidRPr="00A31DBA">
        <w:rPr>
          <w:color w:val="000000" w:themeColor="text1"/>
        </w:rPr>
        <w:tab/>
      </w:r>
      <w:r w:rsidR="00DC7163" w:rsidRPr="00A31DBA">
        <w:rPr>
          <w:color w:val="000000" w:themeColor="text1"/>
        </w:rPr>
        <w:tab/>
      </w:r>
      <w:r w:rsidR="00DC7163" w:rsidRPr="00A31DBA">
        <w:rPr>
          <w:color w:val="000000" w:themeColor="text1"/>
        </w:rPr>
        <w:tab/>
      </w:r>
      <w:r w:rsidRPr="00A31DBA">
        <w:rPr>
          <w:color w:val="000000" w:themeColor="text1"/>
        </w:rPr>
        <w:tab/>
      </w:r>
      <w:r w:rsidR="00CD1451" w:rsidRPr="00A31DBA">
        <w:rPr>
          <w:color w:val="000000" w:themeColor="text1"/>
        </w:rPr>
        <w:tab/>
      </w:r>
      <w:r w:rsidR="00A31DBA" w:rsidRPr="00A31DBA">
        <w:rPr>
          <w:b/>
          <w:color w:val="000000" w:themeColor="text1"/>
        </w:rPr>
        <w:t>n = 9.149</w:t>
      </w:r>
    </w:p>
    <w:p w:rsidR="00092C5E" w:rsidRDefault="00786229" w:rsidP="00786229">
      <w:pPr>
        <w:pStyle w:val="Listenabsatz"/>
        <w:ind w:left="0"/>
      </w:pPr>
      <w:r>
        <w:tab/>
      </w:r>
      <w:r>
        <w:tab/>
      </w:r>
      <w:r w:rsidR="00092C5E">
        <w:t>Altersgruppe 0 bis 4 Jah</w:t>
      </w:r>
      <w:r>
        <w:t>re:</w:t>
      </w:r>
      <w:r>
        <w:tab/>
      </w:r>
      <w:r>
        <w:tab/>
      </w:r>
      <w:r>
        <w:tab/>
      </w:r>
      <w:r>
        <w:tab/>
      </w:r>
      <w:r>
        <w:tab/>
      </w:r>
      <w:r>
        <w:tab/>
        <w:t>n =       61</w:t>
      </w:r>
    </w:p>
    <w:p w:rsidR="00092C5E" w:rsidRDefault="00092C5E" w:rsidP="00786229">
      <w:pPr>
        <w:pStyle w:val="Listenabsatz"/>
        <w:ind w:left="0"/>
      </w:pPr>
      <w:r>
        <w:tab/>
      </w:r>
      <w:r>
        <w:tab/>
        <w:t>Altersgruppe</w:t>
      </w:r>
      <w:r w:rsidR="00786229">
        <w:t xml:space="preserve"> 5 bis 14 Jahre:</w:t>
      </w:r>
      <w:r w:rsidR="00786229">
        <w:tab/>
      </w:r>
      <w:r w:rsidR="00786229">
        <w:tab/>
      </w:r>
      <w:r w:rsidR="00786229">
        <w:tab/>
      </w:r>
      <w:r w:rsidR="00786229">
        <w:tab/>
      </w:r>
      <w:r w:rsidR="00786229">
        <w:tab/>
      </w:r>
      <w:r w:rsidR="00786229">
        <w:tab/>
        <w:t>n =    227</w:t>
      </w:r>
    </w:p>
    <w:p w:rsidR="00092C5E" w:rsidRDefault="00092C5E" w:rsidP="00786229">
      <w:pPr>
        <w:pStyle w:val="Listenabsatz"/>
        <w:ind w:left="0"/>
      </w:pPr>
      <w:r>
        <w:tab/>
      </w:r>
      <w:r>
        <w:tab/>
        <w:t xml:space="preserve">Altersgruppe </w:t>
      </w:r>
      <w:r w:rsidR="00786229">
        <w:t>15 bis 34 Jahre:</w:t>
      </w:r>
      <w:r w:rsidR="00786229">
        <w:tab/>
      </w:r>
      <w:r w:rsidR="00786229">
        <w:tab/>
      </w:r>
      <w:r w:rsidR="00786229">
        <w:tab/>
      </w:r>
      <w:r w:rsidR="00786229">
        <w:tab/>
      </w:r>
      <w:r w:rsidR="00786229">
        <w:tab/>
      </w:r>
      <w:r w:rsidR="00786229">
        <w:tab/>
        <w:t>n = 2.321</w:t>
      </w:r>
    </w:p>
    <w:p w:rsidR="00092C5E" w:rsidRDefault="00092C5E" w:rsidP="00786229">
      <w:pPr>
        <w:pStyle w:val="Listenabsatz"/>
        <w:ind w:left="0"/>
      </w:pPr>
      <w:r>
        <w:tab/>
      </w:r>
      <w:r>
        <w:tab/>
        <w:t>Altersgr</w:t>
      </w:r>
      <w:r w:rsidR="00786229">
        <w:t>uppe 35 bis 59 Jahre:</w:t>
      </w:r>
      <w:r w:rsidR="00786229">
        <w:tab/>
      </w:r>
      <w:r w:rsidR="00786229">
        <w:tab/>
      </w:r>
      <w:r w:rsidR="00786229">
        <w:tab/>
      </w:r>
      <w:r w:rsidR="00786229">
        <w:tab/>
      </w:r>
      <w:r w:rsidR="00786229">
        <w:tab/>
      </w:r>
      <w:r w:rsidR="00786229">
        <w:tab/>
        <w:t>n = 5.024</w:t>
      </w:r>
    </w:p>
    <w:p w:rsidR="00092C5E" w:rsidRDefault="00092C5E" w:rsidP="00786229">
      <w:pPr>
        <w:pStyle w:val="Listenabsatz"/>
        <w:ind w:left="0"/>
      </w:pPr>
      <w:r>
        <w:tab/>
      </w:r>
      <w:r>
        <w:tab/>
        <w:t>Altersgruppe 6</w:t>
      </w:r>
      <w:r w:rsidR="00786229">
        <w:t>0 bis 79 Jahre:</w:t>
      </w:r>
      <w:r w:rsidR="00786229">
        <w:tab/>
      </w:r>
      <w:r w:rsidR="00786229">
        <w:tab/>
      </w:r>
      <w:r w:rsidR="00786229">
        <w:tab/>
      </w:r>
      <w:r w:rsidR="00786229">
        <w:tab/>
      </w:r>
      <w:r w:rsidR="00786229">
        <w:tab/>
      </w:r>
      <w:r w:rsidR="00786229">
        <w:tab/>
        <w:t>n = 1.327</w:t>
      </w:r>
    </w:p>
    <w:p w:rsidR="00092C5E" w:rsidRDefault="00092C5E" w:rsidP="00786229">
      <w:pPr>
        <w:pStyle w:val="Listenabsatz"/>
        <w:ind w:left="0"/>
      </w:pPr>
      <w:r>
        <w:tab/>
      </w:r>
      <w:r>
        <w:tab/>
        <w:t>Altersgruppe 80 Jahre und älter:</w:t>
      </w:r>
      <w:r>
        <w:tab/>
      </w:r>
      <w:r>
        <w:tab/>
      </w:r>
      <w:r>
        <w:tab/>
      </w:r>
      <w:r>
        <w:tab/>
      </w:r>
      <w:r>
        <w:tab/>
        <w:t xml:space="preserve">n = </w:t>
      </w:r>
      <w:r w:rsidR="00786229">
        <w:t xml:space="preserve">   189</w:t>
      </w:r>
    </w:p>
    <w:p w:rsidR="00092C5E" w:rsidRDefault="00092C5E" w:rsidP="00B619F2">
      <w:pPr>
        <w:pStyle w:val="Listenabsatz"/>
        <w:ind w:left="0"/>
        <w:rPr>
          <w:b/>
          <w:color w:val="000000" w:themeColor="text1"/>
        </w:rPr>
      </w:pPr>
    </w:p>
    <w:p w:rsidR="0080080E" w:rsidRDefault="0080080E" w:rsidP="0080080E">
      <w:pPr>
        <w:pStyle w:val="Listenabsatz"/>
        <w:ind w:left="0"/>
      </w:pPr>
      <w:r>
        <w:rPr>
          <w:b/>
          <w:color w:val="000000" w:themeColor="text1"/>
        </w:rPr>
        <w:t xml:space="preserve">Tabelle 1: </w:t>
      </w:r>
      <w:r w:rsidRPr="0080080E">
        <w:rPr>
          <w:color w:val="000000" w:themeColor="text1"/>
        </w:rPr>
        <w:t>Fälle mit</w:t>
      </w:r>
      <w:r>
        <w:rPr>
          <w:color w:val="000000" w:themeColor="text1"/>
        </w:rPr>
        <w:t xml:space="preserve"> Angaben zu einer I</w:t>
      </w:r>
      <w:r w:rsidRPr="0080080E">
        <w:rPr>
          <w:color w:val="000000" w:themeColor="text1"/>
        </w:rPr>
        <w:t>nfluenza-like-</w:t>
      </w:r>
      <w:proofErr w:type="spellStart"/>
      <w:r w:rsidRPr="0080080E">
        <w:rPr>
          <w:color w:val="000000" w:themeColor="text1"/>
        </w:rPr>
        <w:t>illness</w:t>
      </w:r>
      <w:proofErr w:type="spellEnd"/>
      <w:r w:rsidRPr="0080080E">
        <w:rPr>
          <w:color w:val="000000" w:themeColor="text1"/>
        </w:rPr>
        <w:t xml:space="preserve"> (Husten UND Fieber), dem Symptom Pneumonie, zur Hospitalisierung und zum Tod. </w:t>
      </w:r>
      <w:r>
        <w:t>Die in der rechten Spalte aufgeführten Werte (in Prozent) geben einmal den Anteil Fälle mit Angabe „ja“ an allen Fä</w:t>
      </w:r>
      <w:r w:rsidR="00D5424A">
        <w:t>llen an (niedrigerer Wert</w:t>
      </w:r>
      <w:r>
        <w:t>) und den Anteil der jeweiligen Fälle berechnet auf die Summe mit Anga</w:t>
      </w:r>
      <w:r w:rsidR="00D5424A">
        <w:t>be ja/nein (höherer Wert</w:t>
      </w:r>
      <w:r>
        <w:t>).</w:t>
      </w:r>
    </w:p>
    <w:p w:rsidR="009A1F8E" w:rsidRDefault="009A1F8E" w:rsidP="0080080E">
      <w:pPr>
        <w:pStyle w:val="Listenabsatz"/>
        <w:ind w:left="0"/>
      </w:pPr>
      <w:r>
        <w:t xml:space="preserve">In der Spalte „Summe mit Angabe“ bezieht sich der angegebene Anteil auf die Gesamtzahl der Fälle mit Altersangabe (und damit auf die Vollständigkeit der Daten). </w:t>
      </w:r>
    </w:p>
    <w:p w:rsidR="00F072E6" w:rsidRPr="00BF4290" w:rsidRDefault="00F072E6" w:rsidP="0080080E">
      <w:pPr>
        <w:pStyle w:val="Listenabsatz"/>
        <w:ind w:left="0"/>
        <w:rPr>
          <w:b/>
          <w:color w:val="FF0000"/>
        </w:rPr>
      </w:pPr>
      <w:proofErr w:type="spellStart"/>
      <w:r w:rsidRPr="00BF4290">
        <w:rPr>
          <w:b/>
          <w:color w:val="FF0000"/>
        </w:rPr>
        <w:t>Missings</w:t>
      </w:r>
      <w:proofErr w:type="spellEnd"/>
      <w:r w:rsidRPr="00BF4290">
        <w:rPr>
          <w:b/>
          <w:color w:val="FF0000"/>
        </w:rPr>
        <w:t xml:space="preserve">: </w:t>
      </w:r>
    </w:p>
    <w:p w:rsidR="00F072E6" w:rsidRPr="00BF4290" w:rsidRDefault="00F072E6" w:rsidP="0080080E">
      <w:pPr>
        <w:pStyle w:val="Listenabsatz"/>
        <w:ind w:left="0"/>
        <w:rPr>
          <w:color w:val="FF0000"/>
        </w:rPr>
      </w:pPr>
      <w:r w:rsidRPr="00BF4290">
        <w:rPr>
          <w:b/>
          <w:color w:val="FF0000"/>
        </w:rPr>
        <w:t>ILI:</w:t>
      </w:r>
      <w:r w:rsidRPr="00BF4290">
        <w:rPr>
          <w:color w:val="FF0000"/>
        </w:rPr>
        <w:t xml:space="preserve"> </w:t>
      </w:r>
      <w:r w:rsidRPr="00BF4290">
        <w:rPr>
          <w:color w:val="FF0000"/>
        </w:rPr>
        <w:t xml:space="preserve">Symptome (wie </w:t>
      </w:r>
      <w:proofErr w:type="spellStart"/>
      <w:r w:rsidRPr="00BF4290">
        <w:rPr>
          <w:color w:val="FF0000"/>
        </w:rPr>
        <w:t>Huten</w:t>
      </w:r>
      <w:proofErr w:type="spellEnd"/>
      <w:r w:rsidRPr="00BF4290">
        <w:rPr>
          <w:color w:val="FF0000"/>
        </w:rPr>
        <w:t xml:space="preserve"> und Fieber) werden in der Datenmaske mit einem Häkchen bestätigt. D.h. . es gibt hier nur „ja“ und „nein“ als Antwortmöglichkeit.</w:t>
      </w:r>
      <w:r w:rsidRPr="00BF4290">
        <w:rPr>
          <w:color w:val="FF0000"/>
        </w:rPr>
        <w:t xml:space="preserve"> In dem Sinne können hier auch keine </w:t>
      </w:r>
      <w:proofErr w:type="spellStart"/>
      <w:r w:rsidRPr="00BF4290">
        <w:rPr>
          <w:color w:val="FF0000"/>
        </w:rPr>
        <w:t>Missings</w:t>
      </w:r>
      <w:proofErr w:type="spellEnd"/>
      <w:r w:rsidRPr="00BF4290">
        <w:rPr>
          <w:color w:val="FF0000"/>
        </w:rPr>
        <w:t xml:space="preserve"> </w:t>
      </w:r>
      <w:proofErr w:type="gramStart"/>
      <w:r w:rsidRPr="00BF4290">
        <w:rPr>
          <w:color w:val="FF0000"/>
        </w:rPr>
        <w:t>fest gestellt</w:t>
      </w:r>
      <w:proofErr w:type="gramEnd"/>
      <w:r w:rsidRPr="00BF4290">
        <w:rPr>
          <w:color w:val="FF0000"/>
        </w:rPr>
        <w:t xml:space="preserve"> werden. Zuvor muss jedoch die Eingabe erfolgen ob Symptome vorhanden sind (Antwortmöglichkeiten &lt;ja&gt;, &lt;ja, mit Bedeutung für die Erkrankung&gt;, &lt;ja, aber ohne Bedeutung für die Erkrankung&gt;, &lt;Nein, keine klinischen Informationen verfügbar&gt;, &lt;nicht erhoben&gt;, nicht ermittelbar&gt;). Als </w:t>
      </w:r>
      <w:proofErr w:type="spellStart"/>
      <w:r w:rsidRPr="00BF4290">
        <w:rPr>
          <w:color w:val="FF0000"/>
        </w:rPr>
        <w:t>Missings</w:t>
      </w:r>
      <w:proofErr w:type="spellEnd"/>
      <w:r w:rsidRPr="00BF4290">
        <w:rPr>
          <w:color w:val="FF0000"/>
        </w:rPr>
        <w:t xml:space="preserve"> werden hier Fälle betrachtet mit der Angaben &lt;nicht erhoben&gt; und nicht ermittelbar. n = </w:t>
      </w:r>
      <w:r w:rsidR="00C302FF" w:rsidRPr="00BF4290">
        <w:rPr>
          <w:color w:val="FF0000"/>
        </w:rPr>
        <w:t>1516 Fälle (mit Angabe zum Alter und Meldedatum bis 16.03.2020)</w:t>
      </w:r>
    </w:p>
    <w:p w:rsidR="00C302FF" w:rsidRPr="00BF4290" w:rsidRDefault="00C302FF" w:rsidP="0080080E">
      <w:pPr>
        <w:pStyle w:val="Listenabsatz"/>
        <w:ind w:left="0"/>
        <w:rPr>
          <w:color w:val="FF0000"/>
        </w:rPr>
      </w:pPr>
      <w:r w:rsidRPr="00BF4290">
        <w:rPr>
          <w:b/>
          <w:color w:val="FF0000"/>
        </w:rPr>
        <w:t>Pneumonie:</w:t>
      </w:r>
      <w:r w:rsidRPr="00BF4290">
        <w:rPr>
          <w:color w:val="FF0000"/>
        </w:rPr>
        <w:t xml:space="preserve"> s. Erläuterung und </w:t>
      </w:r>
      <w:proofErr w:type="spellStart"/>
      <w:r w:rsidRPr="00BF4290">
        <w:rPr>
          <w:color w:val="FF0000"/>
        </w:rPr>
        <w:t>Missing</w:t>
      </w:r>
      <w:proofErr w:type="spellEnd"/>
      <w:r w:rsidRPr="00BF4290">
        <w:rPr>
          <w:color w:val="FF0000"/>
        </w:rPr>
        <w:t xml:space="preserve"> ILI. </w:t>
      </w:r>
    </w:p>
    <w:p w:rsidR="00C302FF" w:rsidRPr="00BF4290" w:rsidRDefault="00C302FF" w:rsidP="00C302FF">
      <w:pPr>
        <w:pStyle w:val="Listenabsatz"/>
        <w:ind w:left="0"/>
        <w:rPr>
          <w:color w:val="FF0000"/>
        </w:rPr>
      </w:pPr>
      <w:r w:rsidRPr="00BF4290">
        <w:rPr>
          <w:b/>
          <w:color w:val="FF0000"/>
        </w:rPr>
        <w:lastRenderedPageBreak/>
        <w:t>Hospitalisierung:</w:t>
      </w:r>
      <w:r w:rsidRPr="00BF4290">
        <w:rPr>
          <w:color w:val="FF0000"/>
        </w:rPr>
        <w:t xml:space="preserve"> Hier werden alle Fälle als </w:t>
      </w:r>
      <w:proofErr w:type="spellStart"/>
      <w:r w:rsidRPr="00BF4290">
        <w:rPr>
          <w:color w:val="FF0000"/>
        </w:rPr>
        <w:t>Missing</w:t>
      </w:r>
      <w:proofErr w:type="spellEnd"/>
      <w:r w:rsidRPr="00BF4290">
        <w:rPr>
          <w:color w:val="FF0000"/>
        </w:rPr>
        <w:t xml:space="preserve"> angenommen, die unter Hospitalisierungsstatus &lt;nicht erhoben&gt; bzw. &lt;nicht ermittelbar&gt; haben. </w:t>
      </w:r>
      <w:r w:rsidRPr="00BF4290">
        <w:rPr>
          <w:color w:val="FF0000"/>
        </w:rPr>
        <w:t xml:space="preserve">. n = </w:t>
      </w:r>
      <w:r w:rsidRPr="00BF4290">
        <w:rPr>
          <w:color w:val="FF0000"/>
        </w:rPr>
        <w:t>1855</w:t>
      </w:r>
      <w:r w:rsidRPr="00BF4290">
        <w:rPr>
          <w:color w:val="FF0000"/>
        </w:rPr>
        <w:t xml:space="preserve"> Fälle (mit Angabe zum Alter und Meldedatum bis 16.03.2020)</w:t>
      </w:r>
    </w:p>
    <w:p w:rsidR="00C302FF" w:rsidRPr="00BF4290" w:rsidRDefault="00C302FF" w:rsidP="00C302FF">
      <w:pPr>
        <w:pStyle w:val="Listenabsatz"/>
        <w:ind w:left="0"/>
        <w:rPr>
          <w:color w:val="FF0000"/>
        </w:rPr>
      </w:pPr>
      <w:r w:rsidRPr="00BF4290">
        <w:rPr>
          <w:b/>
          <w:color w:val="FF0000"/>
        </w:rPr>
        <w:t xml:space="preserve">Todesfälle: </w:t>
      </w:r>
      <w:r w:rsidRPr="00BF4290">
        <w:rPr>
          <w:color w:val="FF0000"/>
        </w:rPr>
        <w:t xml:space="preserve">Hier werden alle Fälle als </w:t>
      </w:r>
      <w:proofErr w:type="spellStart"/>
      <w:r w:rsidRPr="00BF4290">
        <w:rPr>
          <w:color w:val="FF0000"/>
        </w:rPr>
        <w:t>Missing</w:t>
      </w:r>
      <w:proofErr w:type="spellEnd"/>
      <w:r w:rsidRPr="00BF4290">
        <w:rPr>
          <w:color w:val="FF0000"/>
        </w:rPr>
        <w:t xml:space="preserve"> angenommen, die unter </w:t>
      </w:r>
      <w:proofErr w:type="spellStart"/>
      <w:r w:rsidRPr="00BF4290">
        <w:rPr>
          <w:color w:val="FF0000"/>
        </w:rPr>
        <w:t>Verstorben</w:t>
      </w:r>
      <w:r w:rsidRPr="00BF4290">
        <w:rPr>
          <w:color w:val="FF0000"/>
        </w:rPr>
        <w:t>status</w:t>
      </w:r>
      <w:proofErr w:type="spellEnd"/>
      <w:r w:rsidRPr="00BF4290">
        <w:rPr>
          <w:color w:val="FF0000"/>
        </w:rPr>
        <w:t xml:space="preserve"> &lt;nicht erhoben&gt; bzw. &lt;nicht ermittelbar&gt; haben. . n = </w:t>
      </w:r>
      <w:r w:rsidRPr="00BF4290">
        <w:rPr>
          <w:color w:val="FF0000"/>
        </w:rPr>
        <w:t>153</w:t>
      </w:r>
      <w:r w:rsidRPr="00BF4290">
        <w:rPr>
          <w:color w:val="FF0000"/>
        </w:rPr>
        <w:t xml:space="preserve"> Fälle (mit Angabe zum Alter und Meldedatum bis 16.03.2020)</w:t>
      </w:r>
    </w:p>
    <w:p w:rsidR="00C302FF" w:rsidRPr="00C302FF" w:rsidRDefault="00C302FF" w:rsidP="00C302FF">
      <w:pPr>
        <w:pStyle w:val="Listenabsatz"/>
        <w:ind w:left="0"/>
        <w:rPr>
          <w:b/>
        </w:rPr>
      </w:pPr>
    </w:p>
    <w:tbl>
      <w:tblPr>
        <w:tblStyle w:val="HelleSchattierung-Akzent1"/>
        <w:tblW w:w="0" w:type="auto"/>
        <w:tblLook w:val="04A0" w:firstRow="1" w:lastRow="0" w:firstColumn="1" w:lastColumn="0" w:noHBand="0" w:noVBand="1"/>
      </w:tblPr>
      <w:tblGrid>
        <w:gridCol w:w="1825"/>
        <w:gridCol w:w="1752"/>
        <w:gridCol w:w="1753"/>
        <w:gridCol w:w="2182"/>
        <w:gridCol w:w="1776"/>
      </w:tblGrid>
      <w:tr w:rsidR="008B6170" w:rsidTr="00B90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8B6170" w:rsidRPr="00CD1451" w:rsidRDefault="008B6170" w:rsidP="0080080E">
            <w:pPr>
              <w:pStyle w:val="berschrift3"/>
              <w:jc w:val="center"/>
              <w:outlineLvl w:val="2"/>
              <w:rPr>
                <w:rFonts w:asciiTheme="minorHAnsi" w:eastAsiaTheme="minorHAnsi" w:hAnsiTheme="minorHAnsi" w:cstheme="minorBidi"/>
                <w:b/>
                <w:color w:val="auto"/>
              </w:rPr>
            </w:pPr>
            <w:r w:rsidRPr="00CD1451">
              <w:rPr>
                <w:rFonts w:asciiTheme="minorHAnsi" w:eastAsiaTheme="minorHAnsi" w:hAnsiTheme="minorHAnsi" w:cstheme="minorBidi"/>
                <w:b/>
                <w:color w:val="auto"/>
              </w:rPr>
              <w:t>Parameter</w:t>
            </w:r>
          </w:p>
        </w:tc>
        <w:tc>
          <w:tcPr>
            <w:tcW w:w="1752" w:type="dxa"/>
          </w:tcPr>
          <w:p w:rsidR="008B6170" w:rsidRPr="00CD1451" w:rsidRDefault="008B6170"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CD1451">
              <w:rPr>
                <w:rFonts w:asciiTheme="minorHAnsi" w:eastAsiaTheme="minorHAnsi" w:hAnsiTheme="minorHAnsi" w:cstheme="minorBidi"/>
                <w:b/>
                <w:color w:val="auto"/>
              </w:rPr>
              <w:t>Angabe ja</w:t>
            </w:r>
          </w:p>
        </w:tc>
        <w:tc>
          <w:tcPr>
            <w:tcW w:w="1753" w:type="dxa"/>
          </w:tcPr>
          <w:p w:rsidR="008B6170" w:rsidRPr="00CD1451" w:rsidRDefault="008B6170"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CD1451">
              <w:rPr>
                <w:rFonts w:asciiTheme="minorHAnsi" w:eastAsiaTheme="minorHAnsi" w:hAnsiTheme="minorHAnsi" w:cstheme="minorBidi"/>
                <w:b/>
                <w:color w:val="auto"/>
              </w:rPr>
              <w:t>Angabe nein</w:t>
            </w:r>
          </w:p>
        </w:tc>
        <w:tc>
          <w:tcPr>
            <w:tcW w:w="2182" w:type="dxa"/>
          </w:tcPr>
          <w:p w:rsidR="008B6170" w:rsidRPr="00CD1451" w:rsidRDefault="008B6170"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Pr>
                <w:rFonts w:asciiTheme="minorHAnsi" w:eastAsiaTheme="minorHAnsi" w:hAnsiTheme="minorHAnsi" w:cstheme="minorBidi"/>
                <w:b/>
                <w:color w:val="auto"/>
              </w:rPr>
              <w:t xml:space="preserve">Summe </w:t>
            </w:r>
            <w:r w:rsidRPr="00CD1451">
              <w:rPr>
                <w:rFonts w:asciiTheme="minorHAnsi" w:eastAsiaTheme="minorHAnsi" w:hAnsiTheme="minorHAnsi" w:cstheme="minorBidi"/>
                <w:b/>
                <w:color w:val="auto"/>
              </w:rPr>
              <w:t>mit Angabe</w:t>
            </w:r>
            <w:r w:rsidR="009A1F8E">
              <w:rPr>
                <w:rFonts w:asciiTheme="minorHAnsi" w:eastAsiaTheme="minorHAnsi" w:hAnsiTheme="minorHAnsi" w:cstheme="minorBidi"/>
                <w:b/>
                <w:color w:val="auto"/>
              </w:rPr>
              <w:t xml:space="preserve"> (Datenvollständigkeit in %)</w:t>
            </w:r>
          </w:p>
        </w:tc>
        <w:tc>
          <w:tcPr>
            <w:tcW w:w="1776" w:type="dxa"/>
          </w:tcPr>
          <w:p w:rsidR="008B6170" w:rsidRPr="00CD1451" w:rsidRDefault="008B6170"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8026AD">
              <w:rPr>
                <w:rFonts w:asciiTheme="minorHAnsi" w:eastAsiaTheme="minorHAnsi" w:hAnsiTheme="minorHAnsi" w:cstheme="minorBidi"/>
                <w:b/>
                <w:color w:val="auto"/>
                <w:sz w:val="20"/>
                <w:szCs w:val="20"/>
              </w:rPr>
              <w:t xml:space="preserve">Anteil Summe bis Anteil Summe </w:t>
            </w:r>
            <w:r>
              <w:rPr>
                <w:rFonts w:asciiTheme="minorHAnsi" w:eastAsiaTheme="minorHAnsi" w:hAnsiTheme="minorHAnsi" w:cstheme="minorBidi"/>
                <w:b/>
                <w:color w:val="auto"/>
                <w:sz w:val="20"/>
                <w:szCs w:val="20"/>
              </w:rPr>
              <w:t>mit Angabe</w:t>
            </w:r>
            <w:r w:rsidRPr="008026AD">
              <w:rPr>
                <w:rFonts w:asciiTheme="minorHAnsi" w:eastAsiaTheme="minorHAnsi" w:hAnsiTheme="minorHAnsi" w:cstheme="minorBidi"/>
                <w:b/>
                <w:color w:val="auto"/>
                <w:sz w:val="20"/>
                <w:szCs w:val="20"/>
              </w:rPr>
              <w:t xml:space="preserve"> (%)</w:t>
            </w:r>
          </w:p>
        </w:tc>
      </w:tr>
      <w:tr w:rsidR="008B6170"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8B6170" w:rsidRDefault="008B6170" w:rsidP="0080080E">
            <w:pPr>
              <w:pStyle w:val="Listenabsatz"/>
              <w:ind w:left="0"/>
              <w:rPr>
                <w:b w:val="0"/>
                <w:bCs w:val="0"/>
                <w:color w:val="auto"/>
                <w:sz w:val="20"/>
                <w:szCs w:val="20"/>
              </w:rPr>
            </w:pPr>
            <w:r w:rsidRPr="00CD1451">
              <w:rPr>
                <w:b w:val="0"/>
                <w:bCs w:val="0"/>
                <w:color w:val="auto"/>
                <w:sz w:val="20"/>
                <w:szCs w:val="20"/>
              </w:rPr>
              <w:t xml:space="preserve"> </w:t>
            </w:r>
            <w:r w:rsidRPr="00CD1451">
              <w:rPr>
                <w:bCs w:val="0"/>
                <w:color w:val="auto"/>
                <w:sz w:val="20"/>
                <w:szCs w:val="20"/>
              </w:rPr>
              <w:t>ILI-</w:t>
            </w:r>
            <w:r>
              <w:rPr>
                <w:bCs w:val="0"/>
                <w:color w:val="auto"/>
                <w:sz w:val="20"/>
                <w:szCs w:val="20"/>
              </w:rPr>
              <w:t>Falld</w:t>
            </w:r>
            <w:r w:rsidRPr="00CD1451">
              <w:rPr>
                <w:bCs w:val="0"/>
                <w:color w:val="auto"/>
                <w:sz w:val="20"/>
                <w:szCs w:val="20"/>
              </w:rPr>
              <w:t>efinition</w:t>
            </w:r>
          </w:p>
          <w:p w:rsidR="008B6170" w:rsidRPr="00CD1451" w:rsidRDefault="008B6170" w:rsidP="0080080E">
            <w:pPr>
              <w:pStyle w:val="Listenabsatz"/>
              <w:ind w:left="0"/>
              <w:rPr>
                <w:b w:val="0"/>
                <w:bCs w:val="0"/>
                <w:color w:val="auto"/>
                <w:sz w:val="20"/>
                <w:szCs w:val="20"/>
              </w:rPr>
            </w:pPr>
            <w:r>
              <w:rPr>
                <w:b w:val="0"/>
                <w:bCs w:val="0"/>
                <w:color w:val="auto"/>
                <w:sz w:val="20"/>
                <w:szCs w:val="20"/>
              </w:rPr>
              <w:t>(</w:t>
            </w:r>
            <w:r w:rsidRPr="00CD1451">
              <w:rPr>
                <w:b w:val="0"/>
                <w:bCs w:val="0"/>
                <w:color w:val="auto"/>
                <w:sz w:val="20"/>
                <w:szCs w:val="20"/>
              </w:rPr>
              <w:t>Fieber und Husten</w:t>
            </w:r>
            <w:r>
              <w:rPr>
                <w:b w:val="0"/>
                <w:bCs w:val="0"/>
                <w:color w:val="auto"/>
                <w:sz w:val="20"/>
                <w:szCs w:val="20"/>
              </w:rPr>
              <w:t>)</w:t>
            </w:r>
          </w:p>
        </w:tc>
        <w:tc>
          <w:tcPr>
            <w:tcW w:w="1752" w:type="dxa"/>
          </w:tcPr>
          <w:p w:rsidR="008B6170" w:rsidRPr="00D637C2"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1753" w:type="dxa"/>
          </w:tcPr>
          <w:p w:rsidR="008B6170" w:rsidRPr="00D637C2"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2182" w:type="dxa"/>
          </w:tcPr>
          <w:p w:rsidR="008B6170" w:rsidRPr="00D637C2"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1776" w:type="dxa"/>
          </w:tcPr>
          <w:p w:rsidR="008B6170" w:rsidRPr="00D637C2"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786229" w:rsidRPr="00D637C2" w:rsidTr="00B900E6">
        <w:tc>
          <w:tcPr>
            <w:cnfStyle w:val="001000000000" w:firstRow="0" w:lastRow="0" w:firstColumn="1" w:lastColumn="0" w:oddVBand="0" w:evenVBand="0" w:oddHBand="0" w:evenHBand="0" w:firstRowFirstColumn="0" w:firstRowLastColumn="0" w:lastRowFirstColumn="0" w:lastRowLastColumn="0"/>
            <w:tcW w:w="1825" w:type="dxa"/>
          </w:tcPr>
          <w:p w:rsidR="00786229" w:rsidRPr="00CD1451" w:rsidRDefault="00786229" w:rsidP="0080080E">
            <w:pPr>
              <w:pStyle w:val="Listenabsatz"/>
              <w:ind w:left="0"/>
              <w:jc w:val="center"/>
              <w:rPr>
                <w:b w:val="0"/>
                <w:bCs w:val="0"/>
                <w:color w:val="auto"/>
                <w:sz w:val="20"/>
                <w:szCs w:val="20"/>
              </w:rPr>
            </w:pPr>
            <w:r>
              <w:rPr>
                <w:b w:val="0"/>
                <w:bCs w:val="0"/>
                <w:color w:val="auto"/>
                <w:sz w:val="20"/>
                <w:szCs w:val="20"/>
              </w:rPr>
              <w:t>gesamt</w:t>
            </w:r>
          </w:p>
        </w:tc>
        <w:tc>
          <w:tcPr>
            <w:tcW w:w="1752" w:type="dxa"/>
          </w:tcPr>
          <w:p w:rsidR="00786229" w:rsidRPr="00786229" w:rsidRDefault="00786229"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2.007</w:t>
            </w:r>
          </w:p>
        </w:tc>
        <w:tc>
          <w:tcPr>
            <w:tcW w:w="1753" w:type="dxa"/>
          </w:tcPr>
          <w:p w:rsidR="00786229" w:rsidRPr="00786229" w:rsidRDefault="00786229"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4.111</w:t>
            </w:r>
          </w:p>
        </w:tc>
        <w:tc>
          <w:tcPr>
            <w:tcW w:w="2182"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6.118</w:t>
            </w:r>
          </w:p>
        </w:tc>
        <w:tc>
          <w:tcPr>
            <w:tcW w:w="1776" w:type="dxa"/>
          </w:tcPr>
          <w:p w:rsidR="00786229" w:rsidRPr="005E2706" w:rsidRDefault="005E2706"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22-33</w:t>
            </w:r>
            <w:r w:rsidR="00786229" w:rsidRPr="005E2706">
              <w:rPr>
                <w:rFonts w:cstheme="minorHAnsi"/>
                <w:color w:val="000000" w:themeColor="text1"/>
                <w:sz w:val="20"/>
                <w:szCs w:val="20"/>
              </w:rPr>
              <w:t xml:space="preserve"> %</w:t>
            </w:r>
          </w:p>
        </w:tc>
      </w:tr>
      <w:tr w:rsidR="00786229"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752"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10</w:t>
            </w:r>
          </w:p>
        </w:tc>
        <w:tc>
          <w:tcPr>
            <w:tcW w:w="1753"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27</w:t>
            </w:r>
          </w:p>
        </w:tc>
        <w:tc>
          <w:tcPr>
            <w:tcW w:w="2182"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37</w:t>
            </w:r>
          </w:p>
        </w:tc>
        <w:tc>
          <w:tcPr>
            <w:tcW w:w="1776" w:type="dxa"/>
          </w:tcPr>
          <w:p w:rsidR="00786229" w:rsidRPr="005E2706" w:rsidRDefault="005E2706"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16-27</w:t>
            </w:r>
            <w:r w:rsidR="00786229" w:rsidRPr="005E2706">
              <w:rPr>
                <w:rFonts w:cstheme="minorHAnsi"/>
                <w:color w:val="000000" w:themeColor="text1"/>
                <w:sz w:val="20"/>
                <w:szCs w:val="20"/>
              </w:rPr>
              <w:t xml:space="preserve"> %</w:t>
            </w:r>
          </w:p>
        </w:tc>
      </w:tr>
      <w:tr w:rsidR="00786229" w:rsidRPr="00D637C2" w:rsidTr="00B900E6">
        <w:tc>
          <w:tcPr>
            <w:cnfStyle w:val="001000000000" w:firstRow="0" w:lastRow="0" w:firstColumn="1" w:lastColumn="0" w:oddVBand="0" w:evenVBand="0" w:oddHBand="0" w:evenHBand="0" w:firstRowFirstColumn="0" w:firstRowLastColumn="0" w:lastRowFirstColumn="0" w:lastRowLastColumn="0"/>
            <w:tcW w:w="1825" w:type="dxa"/>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752"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24</w:t>
            </w:r>
          </w:p>
        </w:tc>
        <w:tc>
          <w:tcPr>
            <w:tcW w:w="1753"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152</w:t>
            </w:r>
          </w:p>
        </w:tc>
        <w:tc>
          <w:tcPr>
            <w:tcW w:w="2182"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176</w:t>
            </w:r>
          </w:p>
        </w:tc>
        <w:tc>
          <w:tcPr>
            <w:tcW w:w="1776" w:type="dxa"/>
          </w:tcPr>
          <w:p w:rsidR="00786229" w:rsidRPr="005E2706" w:rsidRDefault="005E2706"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11-14</w:t>
            </w:r>
            <w:r w:rsidR="00786229" w:rsidRPr="005E2706">
              <w:rPr>
                <w:rFonts w:cstheme="minorHAnsi"/>
                <w:color w:val="000000" w:themeColor="text1"/>
                <w:sz w:val="20"/>
                <w:szCs w:val="20"/>
              </w:rPr>
              <w:t xml:space="preserve"> %</w:t>
            </w:r>
          </w:p>
        </w:tc>
      </w:tr>
      <w:tr w:rsidR="00786229"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752"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479</w:t>
            </w:r>
          </w:p>
        </w:tc>
        <w:tc>
          <w:tcPr>
            <w:tcW w:w="1753"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1.077</w:t>
            </w:r>
          </w:p>
        </w:tc>
        <w:tc>
          <w:tcPr>
            <w:tcW w:w="2182" w:type="dxa"/>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1.556</w:t>
            </w:r>
          </w:p>
        </w:tc>
        <w:tc>
          <w:tcPr>
            <w:tcW w:w="1776" w:type="dxa"/>
          </w:tcPr>
          <w:p w:rsidR="00786229" w:rsidRPr="005E2706" w:rsidRDefault="005E2706"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21-31</w:t>
            </w:r>
            <w:r w:rsidR="00786229" w:rsidRPr="005E2706">
              <w:rPr>
                <w:rFonts w:cstheme="minorHAnsi"/>
                <w:color w:val="000000" w:themeColor="text1"/>
                <w:sz w:val="20"/>
                <w:szCs w:val="20"/>
              </w:rPr>
              <w:t xml:space="preserve"> %</w:t>
            </w:r>
          </w:p>
        </w:tc>
      </w:tr>
      <w:tr w:rsidR="00786229" w:rsidRPr="00D637C2" w:rsidTr="00B900E6">
        <w:tc>
          <w:tcPr>
            <w:cnfStyle w:val="001000000000" w:firstRow="0" w:lastRow="0" w:firstColumn="1" w:lastColumn="0" w:oddVBand="0" w:evenVBand="0" w:oddHBand="0" w:evenHBand="0" w:firstRowFirstColumn="0" w:firstRowLastColumn="0" w:lastRowFirstColumn="0" w:lastRowLastColumn="0"/>
            <w:tcW w:w="1825" w:type="dxa"/>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752"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1.188</w:t>
            </w:r>
          </w:p>
        </w:tc>
        <w:tc>
          <w:tcPr>
            <w:tcW w:w="1753"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2.186</w:t>
            </w:r>
          </w:p>
        </w:tc>
        <w:tc>
          <w:tcPr>
            <w:tcW w:w="2182" w:type="dxa"/>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3.374</w:t>
            </w:r>
          </w:p>
        </w:tc>
        <w:tc>
          <w:tcPr>
            <w:tcW w:w="1776" w:type="dxa"/>
          </w:tcPr>
          <w:p w:rsidR="00786229" w:rsidRPr="005E2706" w:rsidRDefault="005E2706"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24-35</w:t>
            </w:r>
            <w:r w:rsidR="00786229" w:rsidRPr="005E2706">
              <w:rPr>
                <w:rFonts w:cstheme="minorHAnsi"/>
                <w:color w:val="000000" w:themeColor="text1"/>
                <w:sz w:val="20"/>
                <w:szCs w:val="20"/>
              </w:rPr>
              <w:t xml:space="preserve"> %</w:t>
            </w:r>
          </w:p>
        </w:tc>
      </w:tr>
      <w:tr w:rsidR="00786229"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bottom w:val="nil"/>
            </w:tcBorders>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752" w:type="dxa"/>
            <w:tcBorders>
              <w:bottom w:val="nil"/>
            </w:tcBorders>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275</w:t>
            </w:r>
          </w:p>
        </w:tc>
        <w:tc>
          <w:tcPr>
            <w:tcW w:w="1753" w:type="dxa"/>
            <w:tcBorders>
              <w:bottom w:val="nil"/>
            </w:tcBorders>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582</w:t>
            </w:r>
          </w:p>
        </w:tc>
        <w:tc>
          <w:tcPr>
            <w:tcW w:w="2182" w:type="dxa"/>
            <w:tcBorders>
              <w:bottom w:val="nil"/>
            </w:tcBorders>
            <w:vAlign w:val="bottom"/>
          </w:tcPr>
          <w:p w:rsidR="00786229" w:rsidRPr="00786229" w:rsidRDefault="00786229">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857</w:t>
            </w:r>
          </w:p>
        </w:tc>
        <w:tc>
          <w:tcPr>
            <w:tcW w:w="1776" w:type="dxa"/>
            <w:tcBorders>
              <w:bottom w:val="nil"/>
            </w:tcBorders>
          </w:tcPr>
          <w:p w:rsidR="00786229" w:rsidRPr="005E2706" w:rsidRDefault="005E2706"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21-32</w:t>
            </w:r>
            <w:r w:rsidR="00786229" w:rsidRPr="005E2706">
              <w:rPr>
                <w:rFonts w:cstheme="minorHAnsi"/>
                <w:color w:val="000000" w:themeColor="text1"/>
                <w:sz w:val="20"/>
                <w:szCs w:val="20"/>
              </w:rPr>
              <w:t xml:space="preserve"> %</w:t>
            </w:r>
          </w:p>
        </w:tc>
      </w:tr>
      <w:tr w:rsidR="00786229"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single" w:sz="4" w:space="0" w:color="auto"/>
            </w:tcBorders>
          </w:tcPr>
          <w:p w:rsidR="00786229" w:rsidRPr="00CD1451" w:rsidRDefault="00786229"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752" w:type="dxa"/>
            <w:tcBorders>
              <w:top w:val="nil"/>
              <w:bottom w:val="single" w:sz="4" w:space="0" w:color="auto"/>
            </w:tcBorders>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31</w:t>
            </w:r>
          </w:p>
        </w:tc>
        <w:tc>
          <w:tcPr>
            <w:tcW w:w="1753" w:type="dxa"/>
            <w:tcBorders>
              <w:top w:val="nil"/>
              <w:bottom w:val="single" w:sz="4" w:space="0" w:color="auto"/>
            </w:tcBorders>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87</w:t>
            </w:r>
          </w:p>
        </w:tc>
        <w:tc>
          <w:tcPr>
            <w:tcW w:w="2182" w:type="dxa"/>
            <w:tcBorders>
              <w:top w:val="nil"/>
              <w:bottom w:val="single" w:sz="4" w:space="0" w:color="auto"/>
            </w:tcBorders>
            <w:vAlign w:val="bottom"/>
          </w:tcPr>
          <w:p w:rsidR="00786229" w:rsidRPr="00786229" w:rsidRDefault="00786229">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86229">
              <w:rPr>
                <w:rFonts w:cstheme="minorHAnsi"/>
                <w:color w:val="000000" w:themeColor="text1"/>
                <w:sz w:val="20"/>
                <w:szCs w:val="20"/>
              </w:rPr>
              <w:t>118</w:t>
            </w:r>
          </w:p>
        </w:tc>
        <w:tc>
          <w:tcPr>
            <w:tcW w:w="1776" w:type="dxa"/>
            <w:tcBorders>
              <w:top w:val="nil"/>
              <w:bottom w:val="single" w:sz="4" w:space="0" w:color="auto"/>
            </w:tcBorders>
          </w:tcPr>
          <w:p w:rsidR="00786229" w:rsidRPr="005E2706" w:rsidRDefault="005E2706"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E2706">
              <w:rPr>
                <w:rFonts w:cstheme="minorHAnsi"/>
                <w:color w:val="000000" w:themeColor="text1"/>
                <w:sz w:val="20"/>
                <w:szCs w:val="20"/>
              </w:rPr>
              <w:t>16-26</w:t>
            </w:r>
            <w:r w:rsidR="00786229" w:rsidRPr="005E2706">
              <w:rPr>
                <w:rFonts w:cstheme="minorHAnsi"/>
                <w:color w:val="000000" w:themeColor="text1"/>
                <w:sz w:val="20"/>
                <w:szCs w:val="20"/>
              </w:rPr>
              <w:t xml:space="preserve"> %</w:t>
            </w:r>
          </w:p>
        </w:tc>
      </w:tr>
      <w:tr w:rsidR="008B6170"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B6170" w:rsidRPr="00CD1451" w:rsidRDefault="008B6170" w:rsidP="0080080E">
            <w:pPr>
              <w:pStyle w:val="Listenabsatz"/>
              <w:ind w:left="0"/>
              <w:rPr>
                <w:sz w:val="20"/>
                <w:szCs w:val="20"/>
              </w:rPr>
            </w:pPr>
            <w:r w:rsidRPr="008B6170">
              <w:rPr>
                <w:color w:val="auto"/>
                <w:sz w:val="20"/>
                <w:szCs w:val="20"/>
              </w:rPr>
              <w:t>Pneumonie</w:t>
            </w:r>
          </w:p>
        </w:tc>
        <w:tc>
          <w:tcPr>
            <w:tcW w:w="1752" w:type="dxa"/>
            <w:tcBorders>
              <w:top w:val="nil"/>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753" w:type="dxa"/>
            <w:tcBorders>
              <w:top w:val="nil"/>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2182" w:type="dxa"/>
            <w:tcBorders>
              <w:top w:val="nil"/>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776" w:type="dxa"/>
            <w:tcBorders>
              <w:top w:val="nil"/>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832AA0"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jc w:val="center"/>
              <w:rPr>
                <w:b w:val="0"/>
                <w:bCs w:val="0"/>
                <w:color w:val="auto"/>
                <w:sz w:val="20"/>
                <w:szCs w:val="20"/>
              </w:rPr>
            </w:pPr>
            <w:r>
              <w:rPr>
                <w:b w:val="0"/>
                <w:bCs w:val="0"/>
                <w:color w:val="auto"/>
                <w:sz w:val="20"/>
                <w:szCs w:val="20"/>
              </w:rPr>
              <w:t>gesamt</w:t>
            </w:r>
          </w:p>
        </w:tc>
        <w:tc>
          <w:tcPr>
            <w:tcW w:w="1752" w:type="dxa"/>
            <w:tcBorders>
              <w:top w:val="nil"/>
              <w:bottom w:val="nil"/>
            </w:tcBorders>
          </w:tcPr>
          <w:p w:rsidR="00832AA0" w:rsidRPr="00F93DD4" w:rsidRDefault="00832AA0"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 xml:space="preserve">133 </w:t>
            </w:r>
          </w:p>
        </w:tc>
        <w:tc>
          <w:tcPr>
            <w:tcW w:w="1753" w:type="dxa"/>
            <w:tcBorders>
              <w:top w:val="nil"/>
              <w:bottom w:val="nil"/>
            </w:tcBorders>
          </w:tcPr>
          <w:p w:rsidR="00832AA0" w:rsidRPr="00832AA0" w:rsidRDefault="00832AA0"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9.016</w:t>
            </w:r>
          </w:p>
        </w:tc>
        <w:tc>
          <w:tcPr>
            <w:tcW w:w="2182"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9149</w:t>
            </w:r>
            <w:r w:rsidR="00F072E6">
              <w:rPr>
                <w:rFonts w:cstheme="minorHAnsi"/>
                <w:color w:val="000000" w:themeColor="text1"/>
                <w:sz w:val="20"/>
                <w:szCs w:val="20"/>
              </w:rPr>
              <w:t xml:space="preserve"> </w:t>
            </w:r>
          </w:p>
        </w:tc>
        <w:tc>
          <w:tcPr>
            <w:tcW w:w="1776"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1,45%</w:t>
            </w:r>
          </w:p>
        </w:tc>
      </w:tr>
      <w:tr w:rsidR="00832AA0"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752" w:type="dxa"/>
            <w:tcBorders>
              <w:top w:val="nil"/>
              <w:bottom w:val="nil"/>
            </w:tcBorders>
          </w:tcPr>
          <w:p w:rsidR="00832AA0" w:rsidRPr="00F93DD4" w:rsidRDefault="00832AA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1</w:t>
            </w:r>
          </w:p>
        </w:tc>
        <w:tc>
          <w:tcPr>
            <w:tcW w:w="1753"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60</w:t>
            </w:r>
          </w:p>
        </w:tc>
        <w:tc>
          <w:tcPr>
            <w:tcW w:w="2182"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61</w:t>
            </w:r>
          </w:p>
        </w:tc>
        <w:tc>
          <w:tcPr>
            <w:tcW w:w="1776"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1,64%</w:t>
            </w:r>
          </w:p>
        </w:tc>
      </w:tr>
      <w:tr w:rsidR="00832AA0"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752" w:type="dxa"/>
            <w:tcBorders>
              <w:top w:val="nil"/>
              <w:bottom w:val="nil"/>
            </w:tcBorders>
          </w:tcPr>
          <w:p w:rsidR="00832AA0" w:rsidRPr="00F93DD4" w:rsidRDefault="00832AA0"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0</w:t>
            </w:r>
          </w:p>
        </w:tc>
        <w:tc>
          <w:tcPr>
            <w:tcW w:w="1753"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227</w:t>
            </w:r>
          </w:p>
        </w:tc>
        <w:tc>
          <w:tcPr>
            <w:tcW w:w="2182"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227</w:t>
            </w:r>
          </w:p>
        </w:tc>
        <w:tc>
          <w:tcPr>
            <w:tcW w:w="1776"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0,00%</w:t>
            </w:r>
          </w:p>
        </w:tc>
      </w:tr>
      <w:tr w:rsidR="00832AA0"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752" w:type="dxa"/>
            <w:tcBorders>
              <w:top w:val="nil"/>
              <w:bottom w:val="nil"/>
            </w:tcBorders>
          </w:tcPr>
          <w:p w:rsidR="00832AA0" w:rsidRPr="00F93DD4" w:rsidRDefault="00832AA0" w:rsidP="00F93DD4">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6</w:t>
            </w:r>
          </w:p>
        </w:tc>
        <w:tc>
          <w:tcPr>
            <w:tcW w:w="1753"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2.315</w:t>
            </w:r>
          </w:p>
        </w:tc>
        <w:tc>
          <w:tcPr>
            <w:tcW w:w="2182"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2321</w:t>
            </w:r>
          </w:p>
        </w:tc>
        <w:tc>
          <w:tcPr>
            <w:tcW w:w="1776"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0,26%</w:t>
            </w:r>
          </w:p>
        </w:tc>
      </w:tr>
      <w:tr w:rsidR="00832AA0"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752" w:type="dxa"/>
            <w:tcBorders>
              <w:top w:val="nil"/>
              <w:bottom w:val="nil"/>
            </w:tcBorders>
          </w:tcPr>
          <w:p w:rsidR="00832AA0" w:rsidRPr="00F93DD4" w:rsidRDefault="00832AA0" w:rsidP="00F93DD4">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52</w:t>
            </w:r>
          </w:p>
        </w:tc>
        <w:tc>
          <w:tcPr>
            <w:tcW w:w="1753"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4.972</w:t>
            </w:r>
          </w:p>
        </w:tc>
        <w:tc>
          <w:tcPr>
            <w:tcW w:w="2182"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5024</w:t>
            </w:r>
          </w:p>
        </w:tc>
        <w:tc>
          <w:tcPr>
            <w:tcW w:w="1776" w:type="dxa"/>
            <w:tcBorders>
              <w:top w:val="nil"/>
              <w:bottom w:val="nil"/>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1,04%</w:t>
            </w:r>
          </w:p>
        </w:tc>
      </w:tr>
      <w:tr w:rsidR="00832AA0"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nil"/>
              <w:bottom w:val="nil"/>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752" w:type="dxa"/>
            <w:tcBorders>
              <w:top w:val="nil"/>
              <w:bottom w:val="nil"/>
            </w:tcBorders>
          </w:tcPr>
          <w:p w:rsidR="00832AA0" w:rsidRPr="00F93DD4" w:rsidRDefault="00832AA0" w:rsidP="00F93DD4">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45</w:t>
            </w:r>
          </w:p>
        </w:tc>
        <w:tc>
          <w:tcPr>
            <w:tcW w:w="1753"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1.282</w:t>
            </w:r>
          </w:p>
        </w:tc>
        <w:tc>
          <w:tcPr>
            <w:tcW w:w="2182"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1327</w:t>
            </w:r>
          </w:p>
        </w:tc>
        <w:tc>
          <w:tcPr>
            <w:tcW w:w="1776" w:type="dxa"/>
            <w:tcBorders>
              <w:top w:val="nil"/>
              <w:bottom w:val="nil"/>
            </w:tcBorders>
            <w:vAlign w:val="bottom"/>
          </w:tcPr>
          <w:p w:rsidR="00832AA0" w:rsidRPr="00832AA0" w:rsidRDefault="00832AA0">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32AA0">
              <w:rPr>
                <w:rFonts w:cstheme="minorHAnsi"/>
                <w:color w:val="000000"/>
                <w:sz w:val="20"/>
                <w:szCs w:val="20"/>
              </w:rPr>
              <w:t>3,39%</w:t>
            </w:r>
          </w:p>
        </w:tc>
      </w:tr>
      <w:tr w:rsidR="00832AA0"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single" w:sz="4" w:space="0" w:color="auto"/>
            </w:tcBorders>
          </w:tcPr>
          <w:p w:rsidR="00832AA0" w:rsidRPr="00CD1451" w:rsidRDefault="00832AA0"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752" w:type="dxa"/>
            <w:tcBorders>
              <w:top w:val="nil"/>
              <w:bottom w:val="single" w:sz="4" w:space="0" w:color="auto"/>
            </w:tcBorders>
          </w:tcPr>
          <w:p w:rsidR="00832AA0" w:rsidRPr="00F93DD4" w:rsidRDefault="00832AA0" w:rsidP="00F93DD4">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93DD4">
              <w:rPr>
                <w:rFonts w:cstheme="minorHAnsi"/>
                <w:color w:val="000000" w:themeColor="text1"/>
                <w:sz w:val="20"/>
                <w:szCs w:val="20"/>
              </w:rPr>
              <w:t>29</w:t>
            </w:r>
          </w:p>
        </w:tc>
        <w:tc>
          <w:tcPr>
            <w:tcW w:w="1753" w:type="dxa"/>
            <w:tcBorders>
              <w:top w:val="nil"/>
              <w:bottom w:val="single" w:sz="4" w:space="0" w:color="auto"/>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160</w:t>
            </w:r>
          </w:p>
        </w:tc>
        <w:tc>
          <w:tcPr>
            <w:tcW w:w="2182" w:type="dxa"/>
            <w:tcBorders>
              <w:top w:val="nil"/>
              <w:bottom w:val="single" w:sz="4" w:space="0" w:color="auto"/>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832AA0">
              <w:rPr>
                <w:rFonts w:cstheme="minorHAnsi"/>
                <w:color w:val="000000" w:themeColor="text1"/>
                <w:sz w:val="20"/>
                <w:szCs w:val="20"/>
              </w:rPr>
              <w:t>189</w:t>
            </w:r>
          </w:p>
        </w:tc>
        <w:tc>
          <w:tcPr>
            <w:tcW w:w="1776" w:type="dxa"/>
            <w:tcBorders>
              <w:top w:val="nil"/>
              <w:bottom w:val="single" w:sz="4" w:space="0" w:color="auto"/>
            </w:tcBorders>
            <w:vAlign w:val="bottom"/>
          </w:tcPr>
          <w:p w:rsidR="00832AA0" w:rsidRPr="00832AA0" w:rsidRDefault="00832AA0">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commentRangeStart w:id="0"/>
            <w:r w:rsidRPr="00832AA0">
              <w:rPr>
                <w:rFonts w:cstheme="minorHAnsi"/>
                <w:color w:val="000000"/>
                <w:sz w:val="20"/>
                <w:szCs w:val="20"/>
              </w:rPr>
              <w:t>15,34%</w:t>
            </w:r>
            <w:commentRangeEnd w:id="0"/>
            <w:r w:rsidRPr="00832AA0">
              <w:rPr>
                <w:rStyle w:val="Kommentarzeichen"/>
                <w:rFonts w:cstheme="minorHAnsi"/>
                <w:color w:val="auto"/>
              </w:rPr>
              <w:commentReference w:id="0"/>
            </w:r>
          </w:p>
        </w:tc>
      </w:tr>
      <w:tr w:rsidR="008B6170" w:rsidRPr="00D637C2"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single" w:sz="4" w:space="0" w:color="auto"/>
              <w:bottom w:val="nil"/>
            </w:tcBorders>
          </w:tcPr>
          <w:p w:rsidR="008B6170" w:rsidRPr="00CD1451" w:rsidRDefault="008B6170" w:rsidP="0080080E">
            <w:pPr>
              <w:pStyle w:val="Listenabsatz"/>
              <w:ind w:left="0"/>
              <w:rPr>
                <w:bCs w:val="0"/>
                <w:color w:val="auto"/>
                <w:sz w:val="20"/>
                <w:szCs w:val="20"/>
              </w:rPr>
            </w:pPr>
            <w:r w:rsidRPr="00CD1451">
              <w:rPr>
                <w:bCs w:val="0"/>
                <w:color w:val="auto"/>
                <w:sz w:val="20"/>
                <w:szCs w:val="20"/>
              </w:rPr>
              <w:t>Hospitalisierung</w:t>
            </w:r>
          </w:p>
        </w:tc>
        <w:tc>
          <w:tcPr>
            <w:tcW w:w="1752" w:type="dxa"/>
            <w:tcBorders>
              <w:top w:val="single" w:sz="4" w:space="0" w:color="auto"/>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FF0000"/>
                <w:sz w:val="20"/>
                <w:szCs w:val="20"/>
              </w:rPr>
            </w:pPr>
          </w:p>
        </w:tc>
        <w:tc>
          <w:tcPr>
            <w:tcW w:w="1753" w:type="dxa"/>
            <w:tcBorders>
              <w:top w:val="single" w:sz="4" w:space="0" w:color="auto"/>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2182" w:type="dxa"/>
            <w:tcBorders>
              <w:top w:val="single" w:sz="4" w:space="0" w:color="auto"/>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776" w:type="dxa"/>
            <w:tcBorders>
              <w:top w:val="single" w:sz="4" w:space="0" w:color="auto"/>
              <w:bottom w:val="nil"/>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103088" w:rsidRPr="00D637C2" w:rsidTr="00B900E6">
        <w:tc>
          <w:tcPr>
            <w:cnfStyle w:val="001000000000" w:firstRow="0" w:lastRow="0" w:firstColumn="1" w:lastColumn="0" w:oddVBand="0" w:evenVBand="0" w:oddHBand="0" w:evenHBand="0" w:firstRowFirstColumn="0" w:firstRowLastColumn="0" w:lastRowFirstColumn="0" w:lastRowLastColumn="0"/>
            <w:tcW w:w="1825" w:type="dxa"/>
            <w:tcBorders>
              <w:top w:val="nil"/>
            </w:tcBorders>
          </w:tcPr>
          <w:p w:rsidR="00103088" w:rsidRPr="00CD1451" w:rsidRDefault="00103088" w:rsidP="0080080E">
            <w:pPr>
              <w:pStyle w:val="Listenabsatz"/>
              <w:ind w:left="0"/>
              <w:jc w:val="center"/>
              <w:rPr>
                <w:b w:val="0"/>
                <w:bCs w:val="0"/>
                <w:color w:val="auto"/>
                <w:sz w:val="20"/>
                <w:szCs w:val="20"/>
              </w:rPr>
            </w:pPr>
            <w:r>
              <w:rPr>
                <w:b w:val="0"/>
                <w:bCs w:val="0"/>
                <w:color w:val="auto"/>
                <w:sz w:val="20"/>
                <w:szCs w:val="20"/>
              </w:rPr>
              <w:t>gesamt</w:t>
            </w:r>
          </w:p>
        </w:tc>
        <w:tc>
          <w:tcPr>
            <w:tcW w:w="1752" w:type="dxa"/>
            <w:tcBorders>
              <w:top w:val="nil"/>
            </w:tcBorders>
          </w:tcPr>
          <w:p w:rsidR="00103088" w:rsidRPr="00103088"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760</w:t>
            </w:r>
          </w:p>
        </w:tc>
        <w:tc>
          <w:tcPr>
            <w:tcW w:w="1753" w:type="dxa"/>
            <w:tcBorders>
              <w:top w:val="nil"/>
            </w:tcBorders>
          </w:tcPr>
          <w:p w:rsidR="00103088" w:rsidRPr="00103088"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6.534</w:t>
            </w:r>
          </w:p>
        </w:tc>
        <w:tc>
          <w:tcPr>
            <w:tcW w:w="2182" w:type="dxa"/>
            <w:tcBorders>
              <w:top w:val="nil"/>
            </w:tcBorders>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7.294</w:t>
            </w:r>
            <w:r w:rsidR="00F072E6" w:rsidRPr="00BF4290">
              <w:rPr>
                <w:rFonts w:cstheme="minorHAnsi"/>
                <w:color w:val="FF0000"/>
                <w:sz w:val="20"/>
                <w:szCs w:val="20"/>
              </w:rPr>
              <w:t xml:space="preserve"> (78%)</w:t>
            </w:r>
          </w:p>
        </w:tc>
        <w:tc>
          <w:tcPr>
            <w:tcW w:w="1776" w:type="dxa"/>
            <w:tcBorders>
              <w:top w:val="nil"/>
            </w:tcBorders>
          </w:tcPr>
          <w:p w:rsidR="00103088" w:rsidRPr="00B34B60"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34B60">
              <w:rPr>
                <w:rFonts w:cstheme="minorHAnsi"/>
                <w:color w:val="000000" w:themeColor="text1"/>
                <w:sz w:val="20"/>
                <w:szCs w:val="20"/>
              </w:rPr>
              <w:t>8-10 %</w:t>
            </w:r>
          </w:p>
        </w:tc>
      </w:tr>
      <w:tr w:rsidR="00103088"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752"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7</w:t>
            </w:r>
          </w:p>
        </w:tc>
        <w:tc>
          <w:tcPr>
            <w:tcW w:w="1753"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36</w:t>
            </w:r>
          </w:p>
        </w:tc>
        <w:tc>
          <w:tcPr>
            <w:tcW w:w="2182" w:type="dxa"/>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43</w:t>
            </w:r>
            <w:r w:rsidR="00F072E6" w:rsidRPr="00BF4290">
              <w:rPr>
                <w:rFonts w:cstheme="minorHAnsi"/>
                <w:color w:val="FF0000"/>
                <w:sz w:val="20"/>
                <w:szCs w:val="20"/>
              </w:rPr>
              <w:t xml:space="preserve"> (70%)</w:t>
            </w:r>
          </w:p>
        </w:tc>
        <w:tc>
          <w:tcPr>
            <w:tcW w:w="1776" w:type="dxa"/>
          </w:tcPr>
          <w:p w:rsidR="00103088" w:rsidRPr="00B34B60" w:rsidRDefault="00103088"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34B60">
              <w:rPr>
                <w:rFonts w:cstheme="minorHAnsi"/>
                <w:color w:val="000000" w:themeColor="text1"/>
                <w:sz w:val="20"/>
                <w:szCs w:val="20"/>
              </w:rPr>
              <w:t>11-16 %</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752"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6</w:t>
            </w:r>
          </w:p>
        </w:tc>
        <w:tc>
          <w:tcPr>
            <w:tcW w:w="1753"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163</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169</w:t>
            </w:r>
            <w:r w:rsidR="00F072E6" w:rsidRPr="00BF4290">
              <w:rPr>
                <w:rFonts w:cstheme="minorHAnsi"/>
                <w:color w:val="FF0000"/>
                <w:sz w:val="20"/>
                <w:szCs w:val="20"/>
              </w:rPr>
              <w:t xml:space="preserve"> (74%)</w:t>
            </w:r>
          </w:p>
        </w:tc>
        <w:tc>
          <w:tcPr>
            <w:tcW w:w="1776" w:type="dxa"/>
          </w:tcPr>
          <w:p w:rsidR="00103088" w:rsidRPr="00B34B60"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3-4 %</w:t>
            </w:r>
          </w:p>
        </w:tc>
      </w:tr>
      <w:tr w:rsidR="00103088"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752"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97</w:t>
            </w:r>
          </w:p>
        </w:tc>
        <w:tc>
          <w:tcPr>
            <w:tcW w:w="1753"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1.725</w:t>
            </w:r>
          </w:p>
        </w:tc>
        <w:tc>
          <w:tcPr>
            <w:tcW w:w="2182" w:type="dxa"/>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1.822</w:t>
            </w:r>
            <w:r w:rsidR="00F072E6" w:rsidRPr="00BF4290">
              <w:rPr>
                <w:rFonts w:cstheme="minorHAnsi"/>
                <w:color w:val="FF0000"/>
                <w:sz w:val="20"/>
                <w:szCs w:val="20"/>
              </w:rPr>
              <w:t xml:space="preserve"> (79%)</w:t>
            </w:r>
          </w:p>
        </w:tc>
        <w:tc>
          <w:tcPr>
            <w:tcW w:w="1776" w:type="dxa"/>
          </w:tcPr>
          <w:p w:rsidR="00103088" w:rsidRPr="00B34B60" w:rsidRDefault="00103088"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34B60">
              <w:rPr>
                <w:rFonts w:cstheme="minorHAnsi"/>
                <w:color w:val="000000" w:themeColor="text1"/>
                <w:sz w:val="20"/>
                <w:szCs w:val="20"/>
              </w:rPr>
              <w:t>4-5 %</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752"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321</w:t>
            </w:r>
          </w:p>
        </w:tc>
        <w:tc>
          <w:tcPr>
            <w:tcW w:w="1753"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3.691</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4.012</w:t>
            </w:r>
            <w:r w:rsidR="00F072E6" w:rsidRPr="00BF4290">
              <w:rPr>
                <w:rFonts w:cstheme="minorHAnsi"/>
                <w:color w:val="FF0000"/>
                <w:sz w:val="20"/>
                <w:szCs w:val="20"/>
              </w:rPr>
              <w:t xml:space="preserve"> (80%)</w:t>
            </w:r>
          </w:p>
        </w:tc>
        <w:tc>
          <w:tcPr>
            <w:tcW w:w="1776" w:type="dxa"/>
          </w:tcPr>
          <w:p w:rsidR="00103088" w:rsidRPr="00B34B60"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6-8 %</w:t>
            </w:r>
          </w:p>
        </w:tc>
      </w:tr>
      <w:tr w:rsidR="00103088"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bottom w:val="nil"/>
            </w:tcBorders>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752" w:type="dxa"/>
            <w:tcBorders>
              <w:bottom w:val="nil"/>
            </w:tcBorders>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230</w:t>
            </w:r>
          </w:p>
        </w:tc>
        <w:tc>
          <w:tcPr>
            <w:tcW w:w="1753" w:type="dxa"/>
            <w:tcBorders>
              <w:bottom w:val="nil"/>
            </w:tcBorders>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848</w:t>
            </w:r>
          </w:p>
        </w:tc>
        <w:tc>
          <w:tcPr>
            <w:tcW w:w="2182" w:type="dxa"/>
            <w:tcBorders>
              <w:bottom w:val="nil"/>
            </w:tcBorders>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1.078</w:t>
            </w:r>
            <w:r w:rsidR="00F072E6" w:rsidRPr="00BF4290">
              <w:rPr>
                <w:rFonts w:cstheme="minorHAnsi"/>
                <w:color w:val="FF0000"/>
                <w:sz w:val="20"/>
                <w:szCs w:val="20"/>
              </w:rPr>
              <w:t xml:space="preserve"> (81%)</w:t>
            </w:r>
          </w:p>
        </w:tc>
        <w:tc>
          <w:tcPr>
            <w:tcW w:w="1776" w:type="dxa"/>
            <w:tcBorders>
              <w:bottom w:val="nil"/>
            </w:tcBorders>
          </w:tcPr>
          <w:p w:rsidR="00103088" w:rsidRPr="00B34B60" w:rsidRDefault="00103088"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17-21 %</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Borders>
              <w:top w:val="nil"/>
              <w:bottom w:val="single" w:sz="8" w:space="0" w:color="auto"/>
            </w:tcBorders>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752" w:type="dxa"/>
            <w:tcBorders>
              <w:top w:val="nil"/>
              <w:bottom w:val="single" w:sz="8" w:space="0" w:color="auto"/>
            </w:tcBorders>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99</w:t>
            </w:r>
          </w:p>
        </w:tc>
        <w:tc>
          <w:tcPr>
            <w:tcW w:w="1753" w:type="dxa"/>
            <w:tcBorders>
              <w:top w:val="nil"/>
              <w:bottom w:val="single" w:sz="8" w:space="0" w:color="auto"/>
            </w:tcBorders>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71</w:t>
            </w:r>
          </w:p>
        </w:tc>
        <w:tc>
          <w:tcPr>
            <w:tcW w:w="2182" w:type="dxa"/>
            <w:tcBorders>
              <w:top w:val="nil"/>
              <w:bottom w:val="single" w:sz="8" w:space="0" w:color="auto"/>
            </w:tcBorders>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170</w:t>
            </w:r>
            <w:r w:rsidR="00F072E6" w:rsidRPr="00BF4290">
              <w:rPr>
                <w:rFonts w:cstheme="minorHAnsi"/>
                <w:color w:val="FF0000"/>
                <w:sz w:val="20"/>
                <w:szCs w:val="20"/>
              </w:rPr>
              <w:t xml:space="preserve"> (90%)</w:t>
            </w:r>
          </w:p>
        </w:tc>
        <w:tc>
          <w:tcPr>
            <w:tcW w:w="1776" w:type="dxa"/>
            <w:tcBorders>
              <w:top w:val="nil"/>
              <w:bottom w:val="single" w:sz="8" w:space="0" w:color="auto"/>
            </w:tcBorders>
          </w:tcPr>
          <w:p w:rsidR="00103088" w:rsidRPr="00B34B60"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52-58 %</w:t>
            </w:r>
          </w:p>
        </w:tc>
      </w:tr>
      <w:tr w:rsidR="008B6170"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single" w:sz="8" w:space="0" w:color="auto"/>
            </w:tcBorders>
          </w:tcPr>
          <w:p w:rsidR="008B6170" w:rsidRPr="00DC7163" w:rsidRDefault="008B6170" w:rsidP="0080080E">
            <w:pPr>
              <w:pStyle w:val="Listenabsatz"/>
              <w:ind w:left="0"/>
              <w:rPr>
                <w:b w:val="0"/>
                <w:bCs w:val="0"/>
                <w:color w:val="auto"/>
                <w:sz w:val="20"/>
                <w:szCs w:val="20"/>
              </w:rPr>
            </w:pPr>
            <w:r>
              <w:rPr>
                <w:bCs w:val="0"/>
                <w:color w:val="auto"/>
                <w:sz w:val="20"/>
                <w:szCs w:val="20"/>
              </w:rPr>
              <w:t>Todesfälle</w:t>
            </w:r>
          </w:p>
        </w:tc>
        <w:tc>
          <w:tcPr>
            <w:tcW w:w="1752" w:type="dxa"/>
            <w:tcBorders>
              <w:top w:val="single" w:sz="8" w:space="0" w:color="auto"/>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FF0000"/>
                <w:sz w:val="20"/>
                <w:szCs w:val="20"/>
              </w:rPr>
            </w:pPr>
          </w:p>
        </w:tc>
        <w:tc>
          <w:tcPr>
            <w:tcW w:w="1753" w:type="dxa"/>
            <w:tcBorders>
              <w:top w:val="single" w:sz="8" w:space="0" w:color="auto"/>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FF0000"/>
                <w:sz w:val="20"/>
                <w:szCs w:val="20"/>
              </w:rPr>
            </w:pPr>
          </w:p>
        </w:tc>
        <w:tc>
          <w:tcPr>
            <w:tcW w:w="2182" w:type="dxa"/>
            <w:tcBorders>
              <w:top w:val="single" w:sz="8" w:space="0" w:color="auto"/>
            </w:tcBorders>
          </w:tcPr>
          <w:p w:rsidR="008B6170" w:rsidRPr="00BF429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FF0000"/>
                <w:sz w:val="20"/>
                <w:szCs w:val="20"/>
              </w:rPr>
            </w:pPr>
          </w:p>
        </w:tc>
        <w:tc>
          <w:tcPr>
            <w:tcW w:w="1776" w:type="dxa"/>
            <w:tcBorders>
              <w:top w:val="single" w:sz="8" w:space="0" w:color="auto"/>
            </w:tcBorders>
          </w:tcPr>
          <w:p w:rsidR="008B6170" w:rsidRPr="008B6170" w:rsidRDefault="008B617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FF0000"/>
                <w:sz w:val="20"/>
                <w:szCs w:val="20"/>
              </w:rPr>
            </w:pP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DC7163" w:rsidRDefault="00103088" w:rsidP="0080080E">
            <w:pPr>
              <w:pStyle w:val="Listenabsatz"/>
              <w:ind w:left="0"/>
              <w:jc w:val="center"/>
              <w:rPr>
                <w:b w:val="0"/>
                <w:bCs w:val="0"/>
                <w:color w:val="auto"/>
                <w:sz w:val="20"/>
                <w:szCs w:val="20"/>
              </w:rPr>
            </w:pPr>
            <w:r w:rsidRPr="00DC7163">
              <w:rPr>
                <w:b w:val="0"/>
                <w:bCs w:val="0"/>
                <w:color w:val="auto"/>
                <w:sz w:val="20"/>
                <w:szCs w:val="20"/>
              </w:rPr>
              <w:t>gesamt</w:t>
            </w:r>
          </w:p>
        </w:tc>
        <w:tc>
          <w:tcPr>
            <w:tcW w:w="1752" w:type="dxa"/>
          </w:tcPr>
          <w:p w:rsidR="00103088" w:rsidRPr="00103088" w:rsidRDefault="00103088" w:rsidP="00103088">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75</w:t>
            </w:r>
          </w:p>
        </w:tc>
        <w:tc>
          <w:tcPr>
            <w:tcW w:w="1753" w:type="dxa"/>
          </w:tcPr>
          <w:p w:rsidR="00103088" w:rsidRPr="00103088"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8.921</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8.996</w:t>
            </w:r>
            <w:r w:rsidR="00F072E6" w:rsidRPr="00BF4290">
              <w:rPr>
                <w:rFonts w:cstheme="minorHAnsi"/>
                <w:color w:val="FF0000"/>
                <w:sz w:val="20"/>
                <w:szCs w:val="20"/>
              </w:rPr>
              <w:t xml:space="preserve"> (98%)</w:t>
            </w:r>
          </w:p>
        </w:tc>
        <w:tc>
          <w:tcPr>
            <w:tcW w:w="1776" w:type="dxa"/>
          </w:tcPr>
          <w:p w:rsidR="00103088" w:rsidRPr="00B34B60" w:rsidRDefault="0080080E"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Pr>
                <w:rFonts w:cstheme="minorHAnsi"/>
                <w:bCs/>
                <w:color w:val="000000" w:themeColor="text1"/>
                <w:sz w:val="20"/>
                <w:szCs w:val="20"/>
              </w:rPr>
              <w:t>0,82</w:t>
            </w:r>
            <w:r w:rsidR="00B34B60" w:rsidRPr="00B34B60">
              <w:rPr>
                <w:rFonts w:cstheme="minorHAnsi"/>
                <w:bCs/>
                <w:color w:val="000000" w:themeColor="text1"/>
                <w:sz w:val="20"/>
                <w:szCs w:val="20"/>
              </w:rPr>
              <w:t>-0,83</w:t>
            </w:r>
            <w:r w:rsidR="00103088" w:rsidRPr="00B34B60">
              <w:rPr>
                <w:rFonts w:cstheme="minorHAnsi"/>
                <w:bCs/>
                <w:color w:val="000000" w:themeColor="text1"/>
                <w:sz w:val="20"/>
                <w:szCs w:val="20"/>
              </w:rPr>
              <w:t>%</w:t>
            </w:r>
          </w:p>
        </w:tc>
      </w:tr>
      <w:tr w:rsidR="00103088"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752" w:type="dxa"/>
          </w:tcPr>
          <w:p w:rsidR="00103088" w:rsidRPr="00103088" w:rsidRDefault="00103088" w:rsidP="00103088">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0</w:t>
            </w:r>
          </w:p>
        </w:tc>
        <w:tc>
          <w:tcPr>
            <w:tcW w:w="1753"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61</w:t>
            </w:r>
          </w:p>
        </w:tc>
        <w:tc>
          <w:tcPr>
            <w:tcW w:w="2182" w:type="dxa"/>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61</w:t>
            </w:r>
            <w:r w:rsidR="00F072E6" w:rsidRPr="00BF4290">
              <w:rPr>
                <w:rFonts w:cstheme="minorHAnsi"/>
                <w:color w:val="FF0000"/>
                <w:sz w:val="20"/>
                <w:szCs w:val="20"/>
              </w:rPr>
              <w:t xml:space="preserve"> (100%)</w:t>
            </w:r>
          </w:p>
        </w:tc>
        <w:tc>
          <w:tcPr>
            <w:tcW w:w="1776" w:type="dxa"/>
          </w:tcPr>
          <w:p w:rsidR="00103088" w:rsidRPr="00B34B60" w:rsidRDefault="00B34B6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 xml:space="preserve">0 </w:t>
            </w:r>
            <w:r w:rsidR="00103088" w:rsidRPr="00B34B60">
              <w:rPr>
                <w:rFonts w:cstheme="minorHAnsi"/>
                <w:bCs/>
                <w:color w:val="000000" w:themeColor="text1"/>
                <w:sz w:val="20"/>
                <w:szCs w:val="20"/>
              </w:rPr>
              <w:t>%</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752" w:type="dxa"/>
          </w:tcPr>
          <w:p w:rsidR="00103088" w:rsidRPr="00103088" w:rsidRDefault="00103088" w:rsidP="00103088">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0</w:t>
            </w:r>
          </w:p>
        </w:tc>
        <w:tc>
          <w:tcPr>
            <w:tcW w:w="1753"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223</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223</w:t>
            </w:r>
            <w:r w:rsidR="00F072E6" w:rsidRPr="00BF4290">
              <w:rPr>
                <w:rFonts w:cstheme="minorHAnsi"/>
                <w:color w:val="FF0000"/>
                <w:sz w:val="20"/>
                <w:szCs w:val="20"/>
              </w:rPr>
              <w:t xml:space="preserve"> (98%)</w:t>
            </w:r>
          </w:p>
        </w:tc>
        <w:tc>
          <w:tcPr>
            <w:tcW w:w="1776" w:type="dxa"/>
          </w:tcPr>
          <w:p w:rsidR="00103088" w:rsidRPr="00B34B60" w:rsidRDefault="00103088"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0 %</w:t>
            </w:r>
          </w:p>
        </w:tc>
      </w:tr>
      <w:tr w:rsidR="00103088"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752" w:type="dxa"/>
          </w:tcPr>
          <w:p w:rsidR="00103088" w:rsidRPr="00103088" w:rsidRDefault="00103088" w:rsidP="00103088">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0</w:t>
            </w:r>
          </w:p>
        </w:tc>
        <w:tc>
          <w:tcPr>
            <w:tcW w:w="1753"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2.286</w:t>
            </w:r>
          </w:p>
        </w:tc>
        <w:tc>
          <w:tcPr>
            <w:tcW w:w="2182" w:type="dxa"/>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2.286</w:t>
            </w:r>
            <w:r w:rsidR="00F072E6" w:rsidRPr="00BF4290">
              <w:rPr>
                <w:rFonts w:cstheme="minorHAnsi"/>
                <w:color w:val="FF0000"/>
                <w:sz w:val="20"/>
                <w:szCs w:val="20"/>
              </w:rPr>
              <w:t xml:space="preserve"> (98%)</w:t>
            </w:r>
          </w:p>
        </w:tc>
        <w:tc>
          <w:tcPr>
            <w:tcW w:w="1776" w:type="dxa"/>
          </w:tcPr>
          <w:p w:rsidR="00103088" w:rsidRPr="00B34B60" w:rsidRDefault="00103088"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0 %</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752" w:type="dxa"/>
          </w:tcPr>
          <w:p w:rsidR="00103088" w:rsidRPr="00103088" w:rsidRDefault="00103088" w:rsidP="00103088">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3</w:t>
            </w:r>
          </w:p>
        </w:tc>
        <w:tc>
          <w:tcPr>
            <w:tcW w:w="1753"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4.945</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4.948</w:t>
            </w:r>
            <w:r w:rsidR="00F072E6" w:rsidRPr="00BF4290">
              <w:rPr>
                <w:rFonts w:cstheme="minorHAnsi"/>
                <w:color w:val="FF0000"/>
                <w:sz w:val="20"/>
                <w:szCs w:val="20"/>
              </w:rPr>
              <w:t xml:space="preserve"> (98%)</w:t>
            </w:r>
          </w:p>
        </w:tc>
        <w:tc>
          <w:tcPr>
            <w:tcW w:w="1776" w:type="dxa"/>
          </w:tcPr>
          <w:p w:rsidR="00103088" w:rsidRPr="00B34B60" w:rsidRDefault="00B34B60"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0,1-0,1</w:t>
            </w:r>
            <w:r w:rsidR="00103088" w:rsidRPr="00B34B60">
              <w:rPr>
                <w:rFonts w:cstheme="minorHAnsi"/>
                <w:bCs/>
                <w:color w:val="000000" w:themeColor="text1"/>
                <w:sz w:val="20"/>
                <w:szCs w:val="20"/>
              </w:rPr>
              <w:t>%</w:t>
            </w:r>
          </w:p>
        </w:tc>
      </w:tr>
      <w:tr w:rsidR="00103088" w:rsidRPr="00CD1451" w:rsidTr="00B9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752" w:type="dxa"/>
          </w:tcPr>
          <w:p w:rsidR="00103088" w:rsidRPr="00103088" w:rsidRDefault="00103088" w:rsidP="00103088">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22</w:t>
            </w:r>
          </w:p>
        </w:tc>
        <w:tc>
          <w:tcPr>
            <w:tcW w:w="1753" w:type="dxa"/>
            <w:vAlign w:val="bottom"/>
          </w:tcPr>
          <w:p w:rsidR="00103088" w:rsidRPr="00103088"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1.272</w:t>
            </w:r>
          </w:p>
        </w:tc>
        <w:tc>
          <w:tcPr>
            <w:tcW w:w="2182" w:type="dxa"/>
            <w:vAlign w:val="bottom"/>
          </w:tcPr>
          <w:p w:rsidR="00103088" w:rsidRPr="00BF4290" w:rsidRDefault="00103088">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1.294</w:t>
            </w:r>
            <w:r w:rsidR="00F072E6" w:rsidRPr="00BF4290">
              <w:rPr>
                <w:rFonts w:cstheme="minorHAnsi"/>
                <w:color w:val="FF0000"/>
                <w:sz w:val="20"/>
                <w:szCs w:val="20"/>
              </w:rPr>
              <w:t xml:space="preserve"> (98%)</w:t>
            </w:r>
          </w:p>
        </w:tc>
        <w:tc>
          <w:tcPr>
            <w:tcW w:w="1776" w:type="dxa"/>
          </w:tcPr>
          <w:p w:rsidR="00103088" w:rsidRPr="00B34B60" w:rsidRDefault="00B34B60"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1,7-1,7</w:t>
            </w:r>
            <w:r w:rsidR="00103088" w:rsidRPr="00B34B60">
              <w:rPr>
                <w:rFonts w:cstheme="minorHAnsi"/>
                <w:bCs/>
                <w:color w:val="000000" w:themeColor="text1"/>
                <w:sz w:val="20"/>
                <w:szCs w:val="20"/>
              </w:rPr>
              <w:t>%</w:t>
            </w:r>
          </w:p>
        </w:tc>
      </w:tr>
      <w:tr w:rsidR="00103088" w:rsidRPr="00CD1451" w:rsidTr="00B900E6">
        <w:tc>
          <w:tcPr>
            <w:cnfStyle w:val="001000000000" w:firstRow="0" w:lastRow="0" w:firstColumn="1" w:lastColumn="0" w:oddVBand="0" w:evenVBand="0" w:oddHBand="0" w:evenHBand="0" w:firstRowFirstColumn="0" w:firstRowLastColumn="0" w:lastRowFirstColumn="0" w:lastRowLastColumn="0"/>
            <w:tcW w:w="1825" w:type="dxa"/>
          </w:tcPr>
          <w:p w:rsidR="00103088" w:rsidRPr="00CD1451" w:rsidRDefault="00103088"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752" w:type="dxa"/>
          </w:tcPr>
          <w:p w:rsidR="00103088" w:rsidRPr="00103088" w:rsidRDefault="00103088" w:rsidP="00103088">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103088">
              <w:rPr>
                <w:rFonts w:cstheme="minorHAnsi"/>
                <w:bCs/>
                <w:color w:val="000000" w:themeColor="text1"/>
                <w:sz w:val="20"/>
                <w:szCs w:val="20"/>
              </w:rPr>
              <w:t>50</w:t>
            </w:r>
          </w:p>
        </w:tc>
        <w:tc>
          <w:tcPr>
            <w:tcW w:w="1753" w:type="dxa"/>
            <w:vAlign w:val="bottom"/>
          </w:tcPr>
          <w:p w:rsidR="00103088" w:rsidRPr="00103088"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03088">
              <w:rPr>
                <w:rFonts w:cstheme="minorHAnsi"/>
                <w:color w:val="000000" w:themeColor="text1"/>
                <w:sz w:val="20"/>
                <w:szCs w:val="20"/>
              </w:rPr>
              <w:t>134</w:t>
            </w:r>
          </w:p>
        </w:tc>
        <w:tc>
          <w:tcPr>
            <w:tcW w:w="2182" w:type="dxa"/>
            <w:vAlign w:val="bottom"/>
          </w:tcPr>
          <w:p w:rsidR="00103088" w:rsidRPr="00BF4290" w:rsidRDefault="00103088">
            <w:pPr>
              <w:jc w:val="right"/>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F4290">
              <w:rPr>
                <w:rFonts w:cstheme="minorHAnsi"/>
                <w:color w:val="FF0000"/>
                <w:sz w:val="20"/>
                <w:szCs w:val="20"/>
              </w:rPr>
              <w:t>184</w:t>
            </w:r>
            <w:r w:rsidR="00F072E6" w:rsidRPr="00BF4290">
              <w:rPr>
                <w:rFonts w:cstheme="minorHAnsi"/>
                <w:color w:val="FF0000"/>
                <w:sz w:val="20"/>
                <w:szCs w:val="20"/>
              </w:rPr>
              <w:t xml:space="preserve"> (97%)</w:t>
            </w:r>
          </w:p>
        </w:tc>
        <w:tc>
          <w:tcPr>
            <w:tcW w:w="1776" w:type="dxa"/>
          </w:tcPr>
          <w:p w:rsidR="00103088" w:rsidRPr="00B34B60" w:rsidRDefault="00B34B60"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B34B60">
              <w:rPr>
                <w:rFonts w:cstheme="minorHAnsi"/>
                <w:bCs/>
                <w:color w:val="000000" w:themeColor="text1"/>
                <w:sz w:val="20"/>
                <w:szCs w:val="20"/>
              </w:rPr>
              <w:t>26-27</w:t>
            </w:r>
            <w:r w:rsidR="00103088" w:rsidRPr="00B34B60">
              <w:rPr>
                <w:rFonts w:cstheme="minorHAnsi"/>
                <w:bCs/>
                <w:color w:val="000000" w:themeColor="text1"/>
                <w:sz w:val="20"/>
                <w:szCs w:val="20"/>
              </w:rPr>
              <w:t>%</w:t>
            </w:r>
          </w:p>
        </w:tc>
      </w:tr>
    </w:tbl>
    <w:p w:rsidR="008B6170" w:rsidRDefault="008B6170" w:rsidP="00B619F2">
      <w:pPr>
        <w:pStyle w:val="Listenabsatz"/>
        <w:ind w:left="0"/>
        <w:rPr>
          <w:b/>
        </w:rPr>
      </w:pPr>
    </w:p>
    <w:p w:rsidR="008B6170" w:rsidRDefault="008B6170" w:rsidP="00B619F2">
      <w:pPr>
        <w:pStyle w:val="Listenabsatz"/>
        <w:ind w:left="0"/>
        <w:rPr>
          <w:b/>
        </w:rPr>
      </w:pPr>
    </w:p>
    <w:p w:rsidR="00DC7163" w:rsidRDefault="00D5424A" w:rsidP="00B619F2">
      <w:pPr>
        <w:pStyle w:val="Listenabsatz"/>
        <w:ind w:left="0"/>
      </w:pPr>
      <w:r>
        <w:rPr>
          <w:b/>
        </w:rPr>
        <w:t>Tabelle 2</w:t>
      </w:r>
      <w:r w:rsidR="004F1274">
        <w:rPr>
          <w:b/>
        </w:rPr>
        <w:t xml:space="preserve">: </w:t>
      </w:r>
      <w:r w:rsidR="000A7074">
        <w:t xml:space="preserve">Fälle mit Angaben zu mindestens einem Risikofaktor für einen schweren Krankheitsverlauf. Erhoben werden folgende </w:t>
      </w:r>
      <w:proofErr w:type="spellStart"/>
      <w:r w:rsidR="000A7074">
        <w:t>Risikofaktoren</w:t>
      </w:r>
      <w:r w:rsidR="000A7074">
        <w:t>:Herz-Kreislauf</w:t>
      </w:r>
      <w:proofErr w:type="spellEnd"/>
      <w:r w:rsidR="000A7074">
        <w:t xml:space="preserve"> </w:t>
      </w:r>
      <w:r w:rsidR="000A7074">
        <w:t xml:space="preserve">inkl. </w:t>
      </w:r>
      <w:r w:rsidR="000A7074">
        <w:t xml:space="preserve">Bluthochdruck, Diabetes, Lebererkrankung, Neurologische Erkrankung, </w:t>
      </w:r>
      <w:proofErr w:type="spellStart"/>
      <w:r w:rsidR="000A7074">
        <w:t>Immundefizienz</w:t>
      </w:r>
      <w:proofErr w:type="spellEnd"/>
      <w:r w:rsidR="000A7074">
        <w:t>, Nierenerkrankung, Lungenerkrankung, Krebserkrankung.</w:t>
      </w:r>
      <w:r w:rsidR="00156658">
        <w:t xml:space="preserve"> Die Angabe „nicht eindeutig“ bezieht sich auf diskrepante Angaben, da </w:t>
      </w:r>
      <w:r w:rsidR="00392955">
        <w:t xml:space="preserve">für die Eingabe der COVID-19-Fälle die Auffangkategorie „weitere bedrohliche Krankheiten“ (WBK) genutzt wird und </w:t>
      </w:r>
      <w:r w:rsidR="00156658">
        <w:t xml:space="preserve">Risikofaktoren an zwei Stellen </w:t>
      </w:r>
      <w:r w:rsidR="00392955">
        <w:t>in der Fallmaske</w:t>
      </w:r>
      <w:r w:rsidR="00156658">
        <w:t xml:space="preserve"> </w:t>
      </w:r>
      <w:r w:rsidR="00392955">
        <w:t xml:space="preserve">in </w:t>
      </w:r>
      <w:proofErr w:type="spellStart"/>
      <w:r w:rsidR="00156658">
        <w:t>SurvNet</w:t>
      </w:r>
      <w:proofErr w:type="spellEnd"/>
      <w:r w:rsidR="00156658">
        <w:t xml:space="preserve"> </w:t>
      </w:r>
      <w:r w:rsidR="00392955">
        <w:t xml:space="preserve">angegeben </w:t>
      </w:r>
      <w:r w:rsidR="00156658">
        <w:t>werden</w:t>
      </w:r>
      <w:r w:rsidR="00392955">
        <w:t xml:space="preserve"> können</w:t>
      </w:r>
      <w:r w:rsidR="00156658">
        <w:t>.</w:t>
      </w:r>
    </w:p>
    <w:tbl>
      <w:tblPr>
        <w:tblStyle w:val="HelleSchattierung-Akzent1"/>
        <w:tblW w:w="9288" w:type="dxa"/>
        <w:tblLook w:val="04A0" w:firstRow="1" w:lastRow="0" w:firstColumn="1" w:lastColumn="0" w:noHBand="0" w:noVBand="1"/>
      </w:tblPr>
      <w:tblGrid>
        <w:gridCol w:w="1301"/>
        <w:gridCol w:w="521"/>
        <w:gridCol w:w="716"/>
        <w:gridCol w:w="1002"/>
        <w:gridCol w:w="1884"/>
        <w:gridCol w:w="1144"/>
        <w:gridCol w:w="1566"/>
        <w:gridCol w:w="1154"/>
      </w:tblGrid>
      <w:tr w:rsidR="00962540" w:rsidRPr="00CE5589" w:rsidTr="009A1F8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01" w:type="dxa"/>
            <w:noWrap/>
            <w:hideMark/>
          </w:tcPr>
          <w:p w:rsidR="00962540" w:rsidRPr="00CE5589" w:rsidRDefault="00962540" w:rsidP="000A7074">
            <w:pPr>
              <w:pStyle w:val="berschrift3"/>
              <w:spacing w:before="0"/>
              <w:jc w:val="center"/>
              <w:outlineLvl w:val="2"/>
              <w:rPr>
                <w:rFonts w:asciiTheme="minorHAnsi" w:eastAsiaTheme="minorHAnsi" w:hAnsiTheme="minorHAnsi" w:cstheme="minorBidi"/>
                <w:b/>
                <w:color w:val="auto"/>
                <w:sz w:val="20"/>
                <w:szCs w:val="20"/>
              </w:rPr>
            </w:pPr>
            <w:r>
              <w:rPr>
                <w:rFonts w:asciiTheme="minorHAnsi" w:eastAsiaTheme="minorHAnsi" w:hAnsiTheme="minorHAnsi" w:cstheme="minorBidi"/>
                <w:b/>
                <w:color w:val="auto"/>
                <w:sz w:val="20"/>
                <w:szCs w:val="20"/>
              </w:rPr>
              <w:lastRenderedPageBreak/>
              <w:t>Angabe Risikofaktor</w:t>
            </w:r>
          </w:p>
        </w:tc>
        <w:tc>
          <w:tcPr>
            <w:tcW w:w="521" w:type="dxa"/>
            <w:noWrap/>
            <w:hideMark/>
          </w:tcPr>
          <w:p w:rsidR="00962540" w:rsidRPr="00CE5589" w:rsidRDefault="00962540" w:rsidP="008026AD">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sz w:val="20"/>
                <w:szCs w:val="20"/>
              </w:rPr>
            </w:pPr>
            <w:r w:rsidRPr="00CE5589">
              <w:rPr>
                <w:rFonts w:asciiTheme="minorHAnsi" w:eastAsiaTheme="minorHAnsi" w:hAnsiTheme="minorHAnsi" w:cstheme="minorBidi"/>
                <w:b/>
                <w:color w:val="auto"/>
                <w:sz w:val="20"/>
                <w:szCs w:val="20"/>
              </w:rPr>
              <w:t>ja</w:t>
            </w:r>
          </w:p>
        </w:tc>
        <w:tc>
          <w:tcPr>
            <w:tcW w:w="716" w:type="dxa"/>
            <w:noWrap/>
            <w:hideMark/>
          </w:tcPr>
          <w:p w:rsidR="00962540" w:rsidRPr="00CE5589" w:rsidRDefault="00962540" w:rsidP="008026AD">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sz w:val="20"/>
                <w:szCs w:val="20"/>
              </w:rPr>
            </w:pPr>
            <w:r w:rsidRPr="00CE5589">
              <w:rPr>
                <w:rFonts w:asciiTheme="minorHAnsi" w:eastAsiaTheme="minorHAnsi" w:hAnsiTheme="minorHAnsi" w:cstheme="minorBidi"/>
                <w:b/>
                <w:color w:val="auto"/>
                <w:sz w:val="20"/>
                <w:szCs w:val="20"/>
              </w:rPr>
              <w:t>nein</w:t>
            </w:r>
          </w:p>
        </w:tc>
        <w:tc>
          <w:tcPr>
            <w:tcW w:w="1002" w:type="dxa"/>
            <w:noWrap/>
            <w:hideMark/>
          </w:tcPr>
          <w:p w:rsidR="00962540" w:rsidRPr="00CE5589" w:rsidRDefault="00962540" w:rsidP="000A7074">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sz w:val="20"/>
                <w:szCs w:val="20"/>
              </w:rPr>
            </w:pPr>
            <w:r w:rsidRPr="00CE5589">
              <w:rPr>
                <w:rFonts w:asciiTheme="minorHAnsi" w:eastAsiaTheme="minorHAnsi" w:hAnsiTheme="minorHAnsi" w:cstheme="minorBidi"/>
                <w:b/>
                <w:color w:val="auto"/>
                <w:sz w:val="20"/>
                <w:szCs w:val="20"/>
              </w:rPr>
              <w:t>nicht eindeutig</w:t>
            </w:r>
          </w:p>
        </w:tc>
        <w:tc>
          <w:tcPr>
            <w:tcW w:w="1881" w:type="dxa"/>
            <w:noWrap/>
            <w:hideMark/>
          </w:tcPr>
          <w:p w:rsidR="00962540" w:rsidRPr="00CE5589" w:rsidRDefault="00962540" w:rsidP="00962540">
            <w:pPr>
              <w:pStyle w:val="berschrift3"/>
              <w:spacing w:before="0"/>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sz w:val="20"/>
                <w:szCs w:val="20"/>
              </w:rPr>
            </w:pPr>
            <w:commentRangeStart w:id="1"/>
            <w:commentRangeStart w:id="2"/>
            <w:r w:rsidRPr="00CE5589">
              <w:rPr>
                <w:rFonts w:asciiTheme="minorHAnsi" w:eastAsiaTheme="minorHAnsi" w:hAnsiTheme="minorHAnsi" w:cstheme="minorBidi"/>
                <w:b/>
                <w:color w:val="auto"/>
                <w:sz w:val="20"/>
                <w:szCs w:val="20"/>
              </w:rPr>
              <w:t>nicht erhoben/</w:t>
            </w:r>
            <w:r>
              <w:rPr>
                <w:rFonts w:asciiTheme="minorHAnsi" w:eastAsiaTheme="minorHAnsi" w:hAnsiTheme="minorHAnsi" w:cstheme="minorBidi"/>
                <w:b/>
                <w:color w:val="auto"/>
                <w:sz w:val="20"/>
                <w:szCs w:val="20"/>
              </w:rPr>
              <w:t xml:space="preserve"> </w:t>
            </w:r>
            <w:r w:rsidRPr="00CE5589">
              <w:rPr>
                <w:rFonts w:asciiTheme="minorHAnsi" w:eastAsiaTheme="minorHAnsi" w:hAnsiTheme="minorHAnsi" w:cstheme="minorBidi"/>
                <w:b/>
                <w:color w:val="auto"/>
                <w:sz w:val="20"/>
                <w:szCs w:val="20"/>
              </w:rPr>
              <w:t>nicht ermittelbar</w:t>
            </w:r>
            <w:commentRangeEnd w:id="1"/>
            <w:r>
              <w:rPr>
                <w:rStyle w:val="Kommentarzeichen"/>
                <w:rFonts w:asciiTheme="minorHAnsi" w:eastAsiaTheme="minorHAnsi" w:hAnsiTheme="minorHAnsi" w:cstheme="minorBidi"/>
                <w:color w:val="auto"/>
              </w:rPr>
              <w:commentReference w:id="1"/>
            </w:r>
            <w:commentRangeEnd w:id="2"/>
            <w:r>
              <w:rPr>
                <w:rStyle w:val="Kommentarzeichen"/>
                <w:rFonts w:asciiTheme="minorHAnsi" w:eastAsiaTheme="minorHAnsi" w:hAnsiTheme="minorHAnsi" w:cstheme="minorBidi"/>
                <w:color w:val="auto"/>
              </w:rPr>
              <w:commentReference w:id="2"/>
            </w:r>
          </w:p>
        </w:tc>
        <w:tc>
          <w:tcPr>
            <w:tcW w:w="1347" w:type="dxa"/>
          </w:tcPr>
          <w:p w:rsidR="00962540" w:rsidRPr="000A41E5" w:rsidRDefault="00962540" w:rsidP="000A7074">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FF0000"/>
                <w:sz w:val="20"/>
                <w:szCs w:val="20"/>
              </w:rPr>
            </w:pPr>
            <w:r w:rsidRPr="000A41E5">
              <w:rPr>
                <w:rFonts w:asciiTheme="minorHAnsi" w:eastAsiaTheme="minorHAnsi" w:hAnsiTheme="minorHAnsi" w:cstheme="minorBidi"/>
                <w:b/>
                <w:color w:val="FF0000"/>
                <w:sz w:val="20"/>
                <w:szCs w:val="20"/>
              </w:rPr>
              <w:t>Fälle mit Angaben (ja/nein</w:t>
            </w:r>
            <w:r w:rsidR="008E2972">
              <w:rPr>
                <w:rFonts w:asciiTheme="minorHAnsi" w:eastAsiaTheme="minorHAnsi" w:hAnsiTheme="minorHAnsi" w:cstheme="minorBidi"/>
                <w:b/>
                <w:color w:val="FF0000"/>
                <w:sz w:val="20"/>
                <w:szCs w:val="20"/>
              </w:rPr>
              <w:t>, nicht eindeutig</w:t>
            </w:r>
            <w:r w:rsidRPr="000A41E5">
              <w:rPr>
                <w:rFonts w:asciiTheme="minorHAnsi" w:eastAsiaTheme="minorHAnsi" w:hAnsiTheme="minorHAnsi" w:cstheme="minorBidi"/>
                <w:b/>
                <w:color w:val="FF0000"/>
                <w:sz w:val="20"/>
                <w:szCs w:val="20"/>
              </w:rPr>
              <w:t>)</w:t>
            </w:r>
          </w:p>
        </w:tc>
        <w:tc>
          <w:tcPr>
            <w:tcW w:w="853" w:type="dxa"/>
            <w:noWrap/>
            <w:hideMark/>
          </w:tcPr>
          <w:p w:rsidR="00962540" w:rsidRPr="00CE5589" w:rsidRDefault="00962540" w:rsidP="000A7074">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sz w:val="20"/>
                <w:szCs w:val="20"/>
              </w:rPr>
            </w:pPr>
            <w:r w:rsidRPr="00CE5589">
              <w:rPr>
                <w:rFonts w:asciiTheme="minorHAnsi" w:eastAsiaTheme="minorHAnsi" w:hAnsiTheme="minorHAnsi" w:cstheme="minorBidi"/>
                <w:b/>
                <w:color w:val="auto"/>
                <w:sz w:val="20"/>
                <w:szCs w:val="20"/>
              </w:rPr>
              <w:t>Gesamtergebnis</w:t>
            </w:r>
          </w:p>
        </w:tc>
        <w:tc>
          <w:tcPr>
            <w:tcW w:w="1667" w:type="dxa"/>
          </w:tcPr>
          <w:p w:rsidR="00962540" w:rsidRPr="000A41E5" w:rsidRDefault="00962540" w:rsidP="000A7074">
            <w:pPr>
              <w:pStyle w:val="berschrift3"/>
              <w:spacing w:before="0"/>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FF0000"/>
                <w:sz w:val="20"/>
                <w:szCs w:val="20"/>
              </w:rPr>
            </w:pPr>
            <w:r w:rsidRPr="000A41E5">
              <w:rPr>
                <w:rFonts w:asciiTheme="minorHAnsi" w:eastAsiaTheme="minorHAnsi" w:hAnsiTheme="minorHAnsi" w:cstheme="minorBidi"/>
                <w:b/>
                <w:color w:val="FF0000"/>
                <w:sz w:val="20"/>
                <w:szCs w:val="20"/>
              </w:rPr>
              <w:t>Anteil Summe bis Anteil Summe mit Angaben</w:t>
            </w:r>
          </w:p>
        </w:tc>
      </w:tr>
      <w:tr w:rsidR="00962540" w:rsidRPr="00CE5589" w:rsidTr="009A1F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01" w:type="dxa"/>
            <w:noWrap/>
            <w:hideMark/>
          </w:tcPr>
          <w:p w:rsidR="00962540" w:rsidRPr="00CD1451" w:rsidRDefault="00962540"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52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2</w:t>
            </w:r>
          </w:p>
        </w:tc>
        <w:tc>
          <w:tcPr>
            <w:tcW w:w="716"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2</w:t>
            </w:r>
          </w:p>
        </w:tc>
        <w:tc>
          <w:tcPr>
            <w:tcW w:w="1002"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11</w:t>
            </w:r>
          </w:p>
        </w:tc>
        <w:tc>
          <w:tcPr>
            <w:tcW w:w="188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46</w:t>
            </w:r>
          </w:p>
        </w:tc>
        <w:tc>
          <w:tcPr>
            <w:tcW w:w="1347" w:type="dxa"/>
          </w:tcPr>
          <w:p w:rsidR="00962540" w:rsidRPr="000A41E5" w:rsidRDefault="008E2972" w:rsidP="008E2972">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15</w:t>
            </w:r>
          </w:p>
        </w:tc>
        <w:tc>
          <w:tcPr>
            <w:tcW w:w="853"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61</w:t>
            </w:r>
          </w:p>
        </w:tc>
        <w:tc>
          <w:tcPr>
            <w:tcW w:w="1667" w:type="dxa"/>
          </w:tcPr>
          <w:p w:rsidR="00962540" w:rsidRPr="000A41E5" w:rsidRDefault="008E2972">
            <w:pPr>
              <w:jc w:val="right"/>
              <w:cnfStyle w:val="000000100000" w:firstRow="0" w:lastRow="0" w:firstColumn="0" w:lastColumn="0" w:oddVBand="0" w:evenVBand="0" w:oddHBand="1" w:evenHBand="0" w:firstRowFirstColumn="0" w:firstRowLastColumn="0" w:lastRowFirstColumn="0" w:lastRowLastColumn="0"/>
              <w:rPr>
                <w:rFonts w:cstheme="minorHAnsi"/>
                <w:b/>
                <w:color w:val="FF0000"/>
                <w:sz w:val="20"/>
                <w:szCs w:val="20"/>
              </w:rPr>
            </w:pPr>
            <w:r>
              <w:rPr>
                <w:rFonts w:cstheme="minorHAnsi"/>
                <w:b/>
                <w:color w:val="FF0000"/>
                <w:sz w:val="20"/>
                <w:szCs w:val="20"/>
              </w:rPr>
              <w:t>3-13</w:t>
            </w:r>
            <w:r w:rsidR="00962540" w:rsidRPr="000A41E5">
              <w:rPr>
                <w:rFonts w:cstheme="minorHAnsi"/>
                <w:b/>
                <w:color w:val="FF0000"/>
                <w:sz w:val="20"/>
                <w:szCs w:val="20"/>
              </w:rPr>
              <w:t>%</w:t>
            </w:r>
          </w:p>
        </w:tc>
      </w:tr>
      <w:tr w:rsidR="00962540" w:rsidRPr="00CE5589" w:rsidTr="009A1F8E">
        <w:trPr>
          <w:trHeight w:val="267"/>
        </w:trPr>
        <w:tc>
          <w:tcPr>
            <w:tcW w:w="1301" w:type="dxa"/>
            <w:noWrap/>
            <w:hideMark/>
          </w:tcPr>
          <w:p w:rsidR="00962540" w:rsidRPr="00CD1451" w:rsidRDefault="00962540" w:rsidP="0080080E">
            <w:pPr>
              <w:pStyle w:val="Listenabsatz"/>
              <w:ind w:left="0"/>
              <w:cnfStyle w:val="001000000000" w:firstRow="0" w:lastRow="0" w:firstColumn="1" w:lastColumn="0" w:oddVBand="0" w:evenVBand="0" w:oddHBand="0" w:evenHBand="0" w:firstRowFirstColumn="0" w:firstRowLastColumn="0" w:lastRowFirstColumn="0" w:lastRowLastColumn="0"/>
              <w:rPr>
                <w:b w:val="0"/>
                <w:bCs w:val="0"/>
                <w:color w:val="auto"/>
                <w:sz w:val="20"/>
                <w:szCs w:val="20"/>
              </w:rPr>
            </w:pPr>
            <w:r w:rsidRPr="00CD1451">
              <w:rPr>
                <w:b w:val="0"/>
                <w:bCs w:val="0"/>
                <w:color w:val="auto"/>
                <w:sz w:val="20"/>
                <w:szCs w:val="20"/>
              </w:rPr>
              <w:t xml:space="preserve">    5 bis 14 Jahre</w:t>
            </w:r>
          </w:p>
        </w:tc>
        <w:tc>
          <w:tcPr>
            <w:tcW w:w="52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w:t>
            </w:r>
          </w:p>
        </w:tc>
        <w:tc>
          <w:tcPr>
            <w:tcW w:w="716"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7</w:t>
            </w:r>
          </w:p>
        </w:tc>
        <w:tc>
          <w:tcPr>
            <w:tcW w:w="1002"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23</w:t>
            </w:r>
          </w:p>
        </w:tc>
        <w:tc>
          <w:tcPr>
            <w:tcW w:w="188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196</w:t>
            </w:r>
          </w:p>
        </w:tc>
        <w:tc>
          <w:tcPr>
            <w:tcW w:w="1347" w:type="dxa"/>
          </w:tcPr>
          <w:p w:rsidR="00962540" w:rsidRPr="000A41E5" w:rsidRDefault="008E2972" w:rsidP="008E2972">
            <w:pPr>
              <w:jc w:val="right"/>
              <w:rPr>
                <w:rFonts w:cstheme="minorHAnsi"/>
                <w:color w:val="FF0000"/>
                <w:sz w:val="20"/>
                <w:szCs w:val="20"/>
              </w:rPr>
            </w:pPr>
            <w:r>
              <w:rPr>
                <w:rFonts w:cstheme="minorHAnsi"/>
                <w:color w:val="FF0000"/>
                <w:sz w:val="20"/>
                <w:szCs w:val="20"/>
              </w:rPr>
              <w:t>31</w:t>
            </w:r>
          </w:p>
        </w:tc>
        <w:tc>
          <w:tcPr>
            <w:tcW w:w="853"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227</w:t>
            </w:r>
          </w:p>
        </w:tc>
        <w:tc>
          <w:tcPr>
            <w:tcW w:w="1667" w:type="dxa"/>
          </w:tcPr>
          <w:p w:rsidR="00962540" w:rsidRPr="000A41E5" w:rsidRDefault="008E2972">
            <w:pPr>
              <w:jc w:val="right"/>
              <w:rPr>
                <w:rFonts w:cstheme="minorHAnsi"/>
                <w:b/>
                <w:color w:val="FF0000"/>
                <w:sz w:val="20"/>
                <w:szCs w:val="20"/>
              </w:rPr>
            </w:pPr>
            <w:r>
              <w:rPr>
                <w:rFonts w:cstheme="minorHAnsi"/>
                <w:b/>
                <w:color w:val="FF0000"/>
                <w:sz w:val="20"/>
                <w:szCs w:val="20"/>
              </w:rPr>
              <w:t>0,4-3,2</w:t>
            </w:r>
            <w:r w:rsidR="00962540" w:rsidRPr="000A41E5">
              <w:rPr>
                <w:rFonts w:cstheme="minorHAnsi"/>
                <w:b/>
                <w:color w:val="FF0000"/>
                <w:sz w:val="20"/>
                <w:szCs w:val="20"/>
              </w:rPr>
              <w:t>%</w:t>
            </w:r>
          </w:p>
        </w:tc>
      </w:tr>
      <w:tr w:rsidR="00962540" w:rsidRPr="00CE5589" w:rsidTr="009A1F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01" w:type="dxa"/>
            <w:noWrap/>
            <w:hideMark/>
          </w:tcPr>
          <w:p w:rsidR="00962540" w:rsidRPr="00CD1451" w:rsidRDefault="00962540"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52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53</w:t>
            </w:r>
          </w:p>
        </w:tc>
        <w:tc>
          <w:tcPr>
            <w:tcW w:w="716"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111</w:t>
            </w:r>
          </w:p>
        </w:tc>
        <w:tc>
          <w:tcPr>
            <w:tcW w:w="1002"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433</w:t>
            </w:r>
          </w:p>
        </w:tc>
        <w:tc>
          <w:tcPr>
            <w:tcW w:w="188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1.724</w:t>
            </w:r>
          </w:p>
        </w:tc>
        <w:tc>
          <w:tcPr>
            <w:tcW w:w="1347" w:type="dxa"/>
          </w:tcPr>
          <w:p w:rsidR="00962540" w:rsidRPr="000A41E5" w:rsidRDefault="008E2972" w:rsidP="008E2972">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597</w:t>
            </w:r>
          </w:p>
        </w:tc>
        <w:tc>
          <w:tcPr>
            <w:tcW w:w="853"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2.321</w:t>
            </w:r>
          </w:p>
        </w:tc>
        <w:tc>
          <w:tcPr>
            <w:tcW w:w="1667" w:type="dxa"/>
          </w:tcPr>
          <w:p w:rsidR="00962540" w:rsidRPr="000A41E5" w:rsidRDefault="008E2972">
            <w:pPr>
              <w:jc w:val="right"/>
              <w:cnfStyle w:val="000000100000" w:firstRow="0" w:lastRow="0" w:firstColumn="0" w:lastColumn="0" w:oddVBand="0" w:evenVBand="0" w:oddHBand="1" w:evenHBand="0" w:firstRowFirstColumn="0" w:firstRowLastColumn="0" w:lastRowFirstColumn="0" w:lastRowLastColumn="0"/>
              <w:rPr>
                <w:rFonts w:cstheme="minorHAnsi"/>
                <w:b/>
                <w:color w:val="FF0000"/>
                <w:sz w:val="20"/>
                <w:szCs w:val="20"/>
              </w:rPr>
            </w:pPr>
            <w:r>
              <w:rPr>
                <w:rFonts w:cstheme="minorHAnsi"/>
                <w:b/>
                <w:color w:val="FF0000"/>
                <w:sz w:val="20"/>
                <w:szCs w:val="20"/>
              </w:rPr>
              <w:t>2,3-8,9</w:t>
            </w:r>
            <w:r w:rsidR="00962540" w:rsidRPr="000A41E5">
              <w:rPr>
                <w:rFonts w:cstheme="minorHAnsi"/>
                <w:b/>
                <w:color w:val="FF0000"/>
                <w:sz w:val="20"/>
                <w:szCs w:val="20"/>
              </w:rPr>
              <w:t>%</w:t>
            </w:r>
          </w:p>
        </w:tc>
      </w:tr>
      <w:tr w:rsidR="00962540" w:rsidRPr="00CE5589" w:rsidTr="009A1F8E">
        <w:trPr>
          <w:trHeight w:val="267"/>
        </w:trPr>
        <w:tc>
          <w:tcPr>
            <w:tcW w:w="1301" w:type="dxa"/>
            <w:noWrap/>
            <w:hideMark/>
          </w:tcPr>
          <w:p w:rsidR="00962540" w:rsidRPr="00CD1451" w:rsidRDefault="00962540" w:rsidP="0080080E">
            <w:pPr>
              <w:pStyle w:val="Listenabsatz"/>
              <w:ind w:left="0"/>
              <w:cnfStyle w:val="001000000000" w:firstRow="0" w:lastRow="0" w:firstColumn="1" w:lastColumn="0" w:oddVBand="0" w:evenVBand="0" w:oddHBand="0" w:evenHBand="0" w:firstRowFirstColumn="0" w:firstRowLastColumn="0" w:lastRowFirstColumn="0" w:lastRowLastColumn="0"/>
              <w:rPr>
                <w:b w:val="0"/>
                <w:bCs w:val="0"/>
                <w:color w:val="auto"/>
                <w:sz w:val="20"/>
                <w:szCs w:val="20"/>
              </w:rPr>
            </w:pPr>
            <w:r w:rsidRPr="00CD1451">
              <w:rPr>
                <w:b w:val="0"/>
                <w:bCs w:val="0"/>
                <w:color w:val="auto"/>
                <w:sz w:val="20"/>
                <w:szCs w:val="20"/>
              </w:rPr>
              <w:t xml:space="preserve">  35 bis 59 Jahre</w:t>
            </w:r>
          </w:p>
        </w:tc>
        <w:tc>
          <w:tcPr>
            <w:tcW w:w="52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159</w:t>
            </w:r>
          </w:p>
        </w:tc>
        <w:tc>
          <w:tcPr>
            <w:tcW w:w="716"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218</w:t>
            </w:r>
          </w:p>
        </w:tc>
        <w:tc>
          <w:tcPr>
            <w:tcW w:w="1002"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791</w:t>
            </w:r>
          </w:p>
        </w:tc>
        <w:tc>
          <w:tcPr>
            <w:tcW w:w="188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3.856</w:t>
            </w:r>
          </w:p>
        </w:tc>
        <w:tc>
          <w:tcPr>
            <w:tcW w:w="1347" w:type="dxa"/>
          </w:tcPr>
          <w:p w:rsidR="00962540" w:rsidRPr="000A41E5" w:rsidRDefault="008E2972" w:rsidP="008E2972">
            <w:pPr>
              <w:jc w:val="right"/>
              <w:rPr>
                <w:rFonts w:cstheme="minorHAnsi"/>
                <w:color w:val="FF0000"/>
                <w:sz w:val="20"/>
                <w:szCs w:val="20"/>
              </w:rPr>
            </w:pPr>
            <w:r>
              <w:rPr>
                <w:rFonts w:cstheme="minorHAnsi"/>
                <w:color w:val="FF0000"/>
                <w:sz w:val="20"/>
                <w:szCs w:val="20"/>
              </w:rPr>
              <w:t>1168</w:t>
            </w:r>
          </w:p>
        </w:tc>
        <w:tc>
          <w:tcPr>
            <w:tcW w:w="853"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5.024</w:t>
            </w:r>
          </w:p>
        </w:tc>
        <w:tc>
          <w:tcPr>
            <w:tcW w:w="1667" w:type="dxa"/>
          </w:tcPr>
          <w:p w:rsidR="00962540" w:rsidRPr="000A41E5" w:rsidRDefault="008E2972">
            <w:pPr>
              <w:jc w:val="right"/>
              <w:rPr>
                <w:rFonts w:cstheme="minorHAnsi"/>
                <w:b/>
                <w:color w:val="FF0000"/>
                <w:sz w:val="20"/>
                <w:szCs w:val="20"/>
              </w:rPr>
            </w:pPr>
            <w:r>
              <w:rPr>
                <w:rFonts w:cstheme="minorHAnsi"/>
                <w:b/>
                <w:color w:val="FF0000"/>
                <w:sz w:val="20"/>
                <w:szCs w:val="20"/>
              </w:rPr>
              <w:t>3,2-13,6</w:t>
            </w:r>
            <w:r w:rsidR="00962540" w:rsidRPr="000A41E5">
              <w:rPr>
                <w:rFonts w:cstheme="minorHAnsi"/>
                <w:b/>
                <w:color w:val="FF0000"/>
                <w:sz w:val="20"/>
                <w:szCs w:val="20"/>
              </w:rPr>
              <w:t>%</w:t>
            </w:r>
          </w:p>
        </w:tc>
      </w:tr>
      <w:tr w:rsidR="00962540" w:rsidRPr="00CE5589" w:rsidTr="009A1F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01" w:type="dxa"/>
            <w:noWrap/>
            <w:hideMark/>
          </w:tcPr>
          <w:p w:rsidR="00962540" w:rsidRPr="00CD1451" w:rsidRDefault="00962540"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52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138</w:t>
            </w:r>
          </w:p>
        </w:tc>
        <w:tc>
          <w:tcPr>
            <w:tcW w:w="716"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49</w:t>
            </w:r>
          </w:p>
        </w:tc>
        <w:tc>
          <w:tcPr>
            <w:tcW w:w="1002"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152</w:t>
            </w:r>
          </w:p>
        </w:tc>
        <w:tc>
          <w:tcPr>
            <w:tcW w:w="188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988</w:t>
            </w:r>
          </w:p>
        </w:tc>
        <w:tc>
          <w:tcPr>
            <w:tcW w:w="1347" w:type="dxa"/>
          </w:tcPr>
          <w:p w:rsidR="00962540" w:rsidRPr="000A41E5" w:rsidRDefault="008E2972" w:rsidP="008E2972">
            <w:pPr>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339</w:t>
            </w:r>
          </w:p>
        </w:tc>
        <w:tc>
          <w:tcPr>
            <w:tcW w:w="853"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8A12E6">
              <w:rPr>
                <w:rFonts w:cstheme="minorHAnsi"/>
                <w:color w:val="000000" w:themeColor="text1"/>
                <w:sz w:val="20"/>
                <w:szCs w:val="20"/>
              </w:rPr>
              <w:t>1.327</w:t>
            </w:r>
          </w:p>
        </w:tc>
        <w:tc>
          <w:tcPr>
            <w:tcW w:w="1667" w:type="dxa"/>
          </w:tcPr>
          <w:p w:rsidR="00962540" w:rsidRPr="000A41E5" w:rsidRDefault="008E2972">
            <w:pPr>
              <w:jc w:val="right"/>
              <w:cnfStyle w:val="000000100000" w:firstRow="0" w:lastRow="0" w:firstColumn="0" w:lastColumn="0" w:oddVBand="0" w:evenVBand="0" w:oddHBand="1" w:evenHBand="0" w:firstRowFirstColumn="0" w:firstRowLastColumn="0" w:lastRowFirstColumn="0" w:lastRowLastColumn="0"/>
              <w:rPr>
                <w:rFonts w:cstheme="minorHAnsi"/>
                <w:b/>
                <w:color w:val="FF0000"/>
                <w:sz w:val="20"/>
                <w:szCs w:val="20"/>
              </w:rPr>
            </w:pPr>
            <w:r>
              <w:rPr>
                <w:rFonts w:cstheme="minorHAnsi"/>
                <w:b/>
                <w:color w:val="FF0000"/>
                <w:sz w:val="20"/>
                <w:szCs w:val="20"/>
              </w:rPr>
              <w:t>10,4-40,7</w:t>
            </w:r>
            <w:r w:rsidR="006C758A" w:rsidRPr="000A41E5">
              <w:rPr>
                <w:rFonts w:cstheme="minorHAnsi"/>
                <w:b/>
                <w:color w:val="FF0000"/>
                <w:sz w:val="20"/>
                <w:szCs w:val="20"/>
              </w:rPr>
              <w:t>%</w:t>
            </w:r>
          </w:p>
        </w:tc>
      </w:tr>
      <w:tr w:rsidR="00962540" w:rsidRPr="001930C6" w:rsidTr="009A1F8E">
        <w:trPr>
          <w:trHeight w:val="267"/>
        </w:trPr>
        <w:tc>
          <w:tcPr>
            <w:tcW w:w="1301" w:type="dxa"/>
            <w:noWrap/>
            <w:hideMark/>
          </w:tcPr>
          <w:p w:rsidR="00962540" w:rsidRPr="00CD1451" w:rsidRDefault="00962540" w:rsidP="0080080E">
            <w:pPr>
              <w:pStyle w:val="Listenabsatz"/>
              <w:ind w:left="0"/>
              <w:cnfStyle w:val="001000000000" w:firstRow="0" w:lastRow="0" w:firstColumn="1" w:lastColumn="0" w:oddVBand="0" w:evenVBand="0" w:oddHBand="0" w:evenHBand="0" w:firstRowFirstColumn="0" w:firstRowLastColumn="0" w:lastRowFirstColumn="0" w:lastRowLastColumn="0"/>
              <w:rPr>
                <w:b w:val="0"/>
                <w:bCs w:val="0"/>
                <w:color w:val="auto"/>
                <w:sz w:val="20"/>
                <w:szCs w:val="20"/>
              </w:rPr>
            </w:pPr>
            <w:r w:rsidRPr="00CD1451">
              <w:rPr>
                <w:b w:val="0"/>
                <w:bCs w:val="0"/>
                <w:color w:val="auto"/>
                <w:sz w:val="20"/>
                <w:szCs w:val="20"/>
              </w:rPr>
              <w:t xml:space="preserve">  80 und älter</w:t>
            </w:r>
          </w:p>
        </w:tc>
        <w:tc>
          <w:tcPr>
            <w:tcW w:w="52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50</w:t>
            </w:r>
          </w:p>
        </w:tc>
        <w:tc>
          <w:tcPr>
            <w:tcW w:w="716"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2</w:t>
            </w:r>
          </w:p>
        </w:tc>
        <w:tc>
          <w:tcPr>
            <w:tcW w:w="1002"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10</w:t>
            </w:r>
          </w:p>
        </w:tc>
        <w:tc>
          <w:tcPr>
            <w:tcW w:w="1881"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127</w:t>
            </w:r>
          </w:p>
        </w:tc>
        <w:tc>
          <w:tcPr>
            <w:tcW w:w="1347" w:type="dxa"/>
          </w:tcPr>
          <w:p w:rsidR="00962540" w:rsidRPr="000A41E5" w:rsidRDefault="008E2972" w:rsidP="008E2972">
            <w:pPr>
              <w:jc w:val="right"/>
              <w:rPr>
                <w:rFonts w:cstheme="minorHAnsi"/>
                <w:color w:val="FF0000"/>
                <w:sz w:val="20"/>
                <w:szCs w:val="20"/>
              </w:rPr>
            </w:pPr>
            <w:r>
              <w:rPr>
                <w:rFonts w:cstheme="minorHAnsi"/>
                <w:color w:val="FF0000"/>
                <w:sz w:val="20"/>
                <w:szCs w:val="20"/>
              </w:rPr>
              <w:t>62</w:t>
            </w:r>
          </w:p>
        </w:tc>
        <w:tc>
          <w:tcPr>
            <w:tcW w:w="853" w:type="dxa"/>
            <w:noWrap/>
            <w:hideMark/>
          </w:tcPr>
          <w:p w:rsidR="00962540" w:rsidRPr="008A12E6" w:rsidRDefault="00962540">
            <w:pPr>
              <w:jc w:val="right"/>
              <w:rPr>
                <w:rFonts w:cstheme="minorHAnsi"/>
                <w:color w:val="000000" w:themeColor="text1"/>
                <w:sz w:val="20"/>
                <w:szCs w:val="20"/>
              </w:rPr>
            </w:pPr>
            <w:r w:rsidRPr="008A12E6">
              <w:rPr>
                <w:rFonts w:cstheme="minorHAnsi"/>
                <w:color w:val="000000" w:themeColor="text1"/>
                <w:sz w:val="20"/>
                <w:szCs w:val="20"/>
              </w:rPr>
              <w:t>189</w:t>
            </w:r>
          </w:p>
        </w:tc>
        <w:tc>
          <w:tcPr>
            <w:tcW w:w="1667" w:type="dxa"/>
          </w:tcPr>
          <w:p w:rsidR="00962540" w:rsidRPr="000A41E5" w:rsidRDefault="008E2972">
            <w:pPr>
              <w:jc w:val="right"/>
              <w:rPr>
                <w:rFonts w:cstheme="minorHAnsi"/>
                <w:b/>
                <w:color w:val="FF0000"/>
                <w:sz w:val="20"/>
                <w:szCs w:val="20"/>
              </w:rPr>
            </w:pPr>
            <w:r>
              <w:rPr>
                <w:rFonts w:cstheme="minorHAnsi"/>
                <w:b/>
                <w:color w:val="FF0000"/>
                <w:sz w:val="20"/>
                <w:szCs w:val="20"/>
              </w:rPr>
              <w:t>26,5-80,6</w:t>
            </w:r>
            <w:r w:rsidR="006C758A" w:rsidRPr="000A41E5">
              <w:rPr>
                <w:rFonts w:cstheme="minorHAnsi"/>
                <w:b/>
                <w:color w:val="FF0000"/>
                <w:sz w:val="20"/>
                <w:szCs w:val="20"/>
              </w:rPr>
              <w:t>%</w:t>
            </w:r>
          </w:p>
        </w:tc>
      </w:tr>
      <w:tr w:rsidR="00962540" w:rsidRPr="00CE5589" w:rsidTr="009A1F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01" w:type="dxa"/>
            <w:noWrap/>
            <w:hideMark/>
          </w:tcPr>
          <w:p w:rsidR="00962540" w:rsidRPr="00CE5589" w:rsidRDefault="00962540" w:rsidP="00CE5589">
            <w:pPr>
              <w:pStyle w:val="Listenabsatz"/>
              <w:ind w:left="0"/>
              <w:rPr>
                <w:b w:val="0"/>
                <w:bCs w:val="0"/>
                <w:color w:val="auto"/>
                <w:sz w:val="20"/>
                <w:szCs w:val="20"/>
              </w:rPr>
            </w:pPr>
            <w:r>
              <w:rPr>
                <w:b w:val="0"/>
                <w:bCs w:val="0"/>
                <w:color w:val="auto"/>
                <w:sz w:val="20"/>
                <w:szCs w:val="20"/>
              </w:rPr>
              <w:t>gesamt</w:t>
            </w:r>
          </w:p>
        </w:tc>
        <w:tc>
          <w:tcPr>
            <w:tcW w:w="52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8A12E6">
              <w:rPr>
                <w:rFonts w:cstheme="minorHAnsi"/>
                <w:b/>
                <w:bCs/>
                <w:color w:val="000000" w:themeColor="text1"/>
                <w:sz w:val="20"/>
                <w:szCs w:val="20"/>
              </w:rPr>
              <w:t>403</w:t>
            </w:r>
          </w:p>
        </w:tc>
        <w:tc>
          <w:tcPr>
            <w:tcW w:w="716"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8A12E6">
              <w:rPr>
                <w:rFonts w:cstheme="minorHAnsi"/>
                <w:b/>
                <w:bCs/>
                <w:color w:val="000000" w:themeColor="text1"/>
                <w:sz w:val="20"/>
                <w:szCs w:val="20"/>
              </w:rPr>
              <w:t>389</w:t>
            </w:r>
          </w:p>
        </w:tc>
        <w:tc>
          <w:tcPr>
            <w:tcW w:w="1002"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8A12E6">
              <w:rPr>
                <w:rFonts w:cstheme="minorHAnsi"/>
                <w:b/>
                <w:bCs/>
                <w:color w:val="000000" w:themeColor="text1"/>
                <w:sz w:val="20"/>
                <w:szCs w:val="20"/>
              </w:rPr>
              <w:t>1.420</w:t>
            </w:r>
          </w:p>
        </w:tc>
        <w:tc>
          <w:tcPr>
            <w:tcW w:w="1881"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8A12E6">
              <w:rPr>
                <w:rFonts w:cstheme="minorHAnsi"/>
                <w:b/>
                <w:bCs/>
                <w:color w:val="000000" w:themeColor="text1"/>
                <w:sz w:val="20"/>
                <w:szCs w:val="20"/>
              </w:rPr>
              <w:t>6.937</w:t>
            </w:r>
          </w:p>
        </w:tc>
        <w:tc>
          <w:tcPr>
            <w:tcW w:w="1347" w:type="dxa"/>
          </w:tcPr>
          <w:p w:rsidR="00962540" w:rsidRPr="000A41E5" w:rsidRDefault="008E2972" w:rsidP="008E2972">
            <w:pPr>
              <w:jc w:val="right"/>
              <w:cnfStyle w:val="000000100000" w:firstRow="0" w:lastRow="0" w:firstColumn="0" w:lastColumn="0" w:oddVBand="0" w:evenVBand="0" w:oddHBand="1" w:evenHBand="0" w:firstRowFirstColumn="0" w:firstRowLastColumn="0" w:lastRowFirstColumn="0" w:lastRowLastColumn="0"/>
              <w:rPr>
                <w:rFonts w:cstheme="minorHAnsi"/>
                <w:b/>
                <w:bCs/>
                <w:color w:val="FF0000"/>
                <w:sz w:val="20"/>
                <w:szCs w:val="20"/>
              </w:rPr>
            </w:pPr>
            <w:r>
              <w:rPr>
                <w:rFonts w:cstheme="minorHAnsi"/>
                <w:b/>
                <w:bCs/>
                <w:color w:val="FF0000"/>
                <w:sz w:val="20"/>
                <w:szCs w:val="20"/>
              </w:rPr>
              <w:t>2212</w:t>
            </w:r>
          </w:p>
        </w:tc>
        <w:tc>
          <w:tcPr>
            <w:tcW w:w="853" w:type="dxa"/>
            <w:noWrap/>
            <w:hideMark/>
          </w:tcPr>
          <w:p w:rsidR="00962540" w:rsidRPr="008A12E6" w:rsidRDefault="00962540">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8A12E6">
              <w:rPr>
                <w:rFonts w:cstheme="minorHAnsi"/>
                <w:b/>
                <w:bCs/>
                <w:color w:val="000000" w:themeColor="text1"/>
                <w:sz w:val="20"/>
                <w:szCs w:val="20"/>
              </w:rPr>
              <w:t>9.149</w:t>
            </w:r>
          </w:p>
        </w:tc>
        <w:tc>
          <w:tcPr>
            <w:tcW w:w="1667" w:type="dxa"/>
          </w:tcPr>
          <w:p w:rsidR="00962540" w:rsidRPr="000A41E5" w:rsidRDefault="008E2972">
            <w:pPr>
              <w:jc w:val="right"/>
              <w:cnfStyle w:val="000000100000" w:firstRow="0" w:lastRow="0" w:firstColumn="0" w:lastColumn="0" w:oddVBand="0" w:evenVBand="0" w:oddHBand="1" w:evenHBand="0" w:firstRowFirstColumn="0" w:firstRowLastColumn="0" w:lastRowFirstColumn="0" w:lastRowLastColumn="0"/>
              <w:rPr>
                <w:rFonts w:cstheme="minorHAnsi"/>
                <w:b/>
                <w:bCs/>
                <w:color w:val="FF0000"/>
                <w:sz w:val="20"/>
                <w:szCs w:val="20"/>
              </w:rPr>
            </w:pPr>
            <w:r>
              <w:rPr>
                <w:rFonts w:cstheme="minorHAnsi"/>
                <w:b/>
                <w:bCs/>
                <w:color w:val="FF0000"/>
                <w:sz w:val="20"/>
                <w:szCs w:val="20"/>
              </w:rPr>
              <w:t>4,4-18,2</w:t>
            </w:r>
            <w:r w:rsidR="006C758A" w:rsidRPr="000A41E5">
              <w:rPr>
                <w:rFonts w:cstheme="minorHAnsi"/>
                <w:b/>
                <w:bCs/>
                <w:color w:val="FF0000"/>
                <w:sz w:val="20"/>
                <w:szCs w:val="20"/>
              </w:rPr>
              <w:t>%</w:t>
            </w:r>
          </w:p>
        </w:tc>
      </w:tr>
    </w:tbl>
    <w:p w:rsidR="00CE5589" w:rsidRDefault="00CE5589" w:rsidP="00CE5589">
      <w:pPr>
        <w:pStyle w:val="Listenabsatz"/>
        <w:spacing w:after="0" w:line="240" w:lineRule="auto"/>
        <w:ind w:left="0"/>
        <w:rPr>
          <w:sz w:val="20"/>
          <w:szCs w:val="20"/>
        </w:rPr>
      </w:pPr>
    </w:p>
    <w:p w:rsidR="00256FB0" w:rsidRPr="00097901" w:rsidRDefault="00D5424A" w:rsidP="00B619F2">
      <w:pPr>
        <w:pStyle w:val="Listenabsatz"/>
        <w:ind w:left="0"/>
        <w:rPr>
          <w:color w:val="FF0000"/>
        </w:rPr>
      </w:pPr>
      <w:r w:rsidRPr="00097901">
        <w:rPr>
          <w:b/>
          <w:color w:val="FF0000"/>
        </w:rPr>
        <w:t>Tabelle 3</w:t>
      </w:r>
      <w:r w:rsidR="001930C6" w:rsidRPr="00097901">
        <w:rPr>
          <w:b/>
          <w:color w:val="FF0000"/>
        </w:rPr>
        <w:t xml:space="preserve"> </w:t>
      </w:r>
      <w:r w:rsidR="001930C6" w:rsidRPr="00097901">
        <w:rPr>
          <w:color w:val="FF0000"/>
        </w:rPr>
        <w:t xml:space="preserve">Angabe zum </w:t>
      </w:r>
      <w:r w:rsidR="00256FB0" w:rsidRPr="00097901">
        <w:rPr>
          <w:color w:val="FF0000"/>
        </w:rPr>
        <w:t xml:space="preserve">Risiko unter hospitalisierten Fällen. </w:t>
      </w:r>
    </w:p>
    <w:p w:rsidR="00256FB0" w:rsidRPr="00097901" w:rsidRDefault="00256FB0" w:rsidP="00B619F2">
      <w:pPr>
        <w:pStyle w:val="Listenabsatz"/>
        <w:ind w:left="0"/>
        <w:rPr>
          <w:color w:val="FF0000"/>
        </w:rPr>
      </w:pPr>
      <w:r w:rsidRPr="00097901">
        <w:rPr>
          <w:color w:val="FF0000"/>
        </w:rPr>
        <w:t xml:space="preserve">Gesamtzahl hospitalisierter Fälle: 760 </w:t>
      </w:r>
    </w:p>
    <w:p w:rsidR="006C0983" w:rsidRPr="00097901" w:rsidRDefault="006C0983" w:rsidP="00B619F2">
      <w:pPr>
        <w:pStyle w:val="Listenabsatz"/>
        <w:ind w:left="0"/>
        <w:rPr>
          <w:color w:val="FF0000"/>
        </w:rPr>
      </w:pPr>
      <w:proofErr w:type="spellStart"/>
      <w:r w:rsidRPr="00097901">
        <w:rPr>
          <w:color w:val="FF0000"/>
        </w:rPr>
        <w:t>Missing</w:t>
      </w:r>
      <w:proofErr w:type="spellEnd"/>
      <w:r w:rsidRPr="00097901">
        <w:rPr>
          <w:color w:val="FF0000"/>
        </w:rPr>
        <w:t xml:space="preserve">: </w:t>
      </w:r>
      <w:r w:rsidR="00097901">
        <w:rPr>
          <w:color w:val="FF0000"/>
        </w:rPr>
        <w:t xml:space="preserve">Angaben mit </w:t>
      </w:r>
      <w:r w:rsidRPr="00097901">
        <w:rPr>
          <w:color w:val="FF0000"/>
        </w:rPr>
        <w:t>nicht erhoben, nicht ermittelbar</w:t>
      </w:r>
    </w:p>
    <w:p w:rsidR="006C0983" w:rsidRPr="00097901" w:rsidRDefault="006C0983" w:rsidP="00B619F2">
      <w:pPr>
        <w:pStyle w:val="Listenabsatz"/>
        <w:ind w:left="0"/>
        <w:rPr>
          <w:color w:val="FF0000"/>
        </w:rPr>
      </w:pPr>
      <w:r w:rsidRPr="00097901">
        <w:rPr>
          <w:color w:val="FF0000"/>
        </w:rPr>
        <w:t xml:space="preserve">Bei der Berechnung der Spanne des Anteils von Fälle mit Risiko sind sowohl Fälle mit der Angabe zum Risiko &lt;ja&gt; als auch Fälle mit der Angabe &lt;nicht eindeutig&gt; berücksichtigt. Fälle mit nicht eindeutiger Angabe werden hier mit positiver Angabe zum Risiko bewertet. </w:t>
      </w:r>
    </w:p>
    <w:p w:rsidR="006C0983" w:rsidRPr="00097901" w:rsidRDefault="006C0983" w:rsidP="00B619F2">
      <w:pPr>
        <w:pStyle w:val="Listenabsatz"/>
        <w:ind w:left="0"/>
        <w:rPr>
          <w:color w:val="FF0000"/>
        </w:rPr>
      </w:pPr>
      <w:r w:rsidRPr="00097901">
        <w:rPr>
          <w:color w:val="FF0000"/>
        </w:rPr>
        <w:t xml:space="preserve">Die Datenvollständigkeit bezieht sich auf den Anteil der Fälle mit Angabe zum Risiko (ja, nein, nicht eindeutig) bezogen auf alle hospitalisierten Fälle (Hospitalisierungsstatus ja). </w:t>
      </w:r>
    </w:p>
    <w:tbl>
      <w:tblPr>
        <w:tblStyle w:val="HelleSchattierung-Akzent1"/>
        <w:tblW w:w="0" w:type="auto"/>
        <w:tblLayout w:type="fixed"/>
        <w:tblLook w:val="04A0" w:firstRow="1" w:lastRow="0" w:firstColumn="1" w:lastColumn="0" w:noHBand="0" w:noVBand="1"/>
      </w:tblPr>
      <w:tblGrid>
        <w:gridCol w:w="1018"/>
        <w:gridCol w:w="902"/>
        <w:gridCol w:w="1118"/>
        <w:gridCol w:w="898"/>
        <w:gridCol w:w="768"/>
        <w:gridCol w:w="833"/>
        <w:gridCol w:w="1092"/>
        <w:gridCol w:w="1161"/>
        <w:gridCol w:w="1168"/>
      </w:tblGrid>
      <w:tr w:rsidR="006C0983" w:rsidTr="006C0983">
        <w:trPr>
          <w:cnfStyle w:val="100000000000" w:firstRow="1" w:lastRow="0" w:firstColumn="0" w:lastColumn="0" w:oddVBand="0" w:evenVBand="0" w:oddHBand="0"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1018" w:type="dxa"/>
          </w:tcPr>
          <w:p w:rsidR="006C0983" w:rsidRPr="006C0983" w:rsidRDefault="006C0983">
            <w:pPr>
              <w:jc w:val="right"/>
              <w:rPr>
                <w:rFonts w:ascii="Arial" w:hAnsi="Arial" w:cs="Arial"/>
                <w:color w:val="auto"/>
                <w:sz w:val="20"/>
                <w:szCs w:val="20"/>
              </w:rPr>
            </w:pPr>
            <w:r w:rsidRPr="006C0983">
              <w:rPr>
                <w:rFonts w:ascii="Arial" w:hAnsi="Arial" w:cs="Arial"/>
                <w:bCs w:val="0"/>
                <w:color w:val="auto"/>
                <w:sz w:val="20"/>
                <w:szCs w:val="20"/>
              </w:rPr>
              <w:t>Angabe</w:t>
            </w:r>
          </w:p>
        </w:tc>
        <w:tc>
          <w:tcPr>
            <w:tcW w:w="902"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roofErr w:type="spellStart"/>
            <w:r w:rsidRPr="006C0983">
              <w:rPr>
                <w:rFonts w:ascii="Arial" w:hAnsi="Arial" w:cs="Arial"/>
                <w:bCs w:val="0"/>
                <w:color w:val="auto"/>
                <w:sz w:val="20"/>
                <w:szCs w:val="20"/>
              </w:rPr>
              <w:t>Hospi-talisierung</w:t>
            </w:r>
            <w:proofErr w:type="spellEnd"/>
            <w:r w:rsidRPr="006C0983">
              <w:rPr>
                <w:rFonts w:ascii="Arial" w:hAnsi="Arial" w:cs="Arial"/>
                <w:bCs w:val="0"/>
                <w:color w:val="auto"/>
                <w:sz w:val="20"/>
                <w:szCs w:val="20"/>
              </w:rPr>
              <w:t xml:space="preserve"> ja </w:t>
            </w:r>
          </w:p>
        </w:tc>
        <w:tc>
          <w:tcPr>
            <w:tcW w:w="1118"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Risiko ja</w:t>
            </w:r>
          </w:p>
        </w:tc>
        <w:tc>
          <w:tcPr>
            <w:tcW w:w="898"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Risiko nein</w:t>
            </w:r>
          </w:p>
        </w:tc>
        <w:tc>
          <w:tcPr>
            <w:tcW w:w="768"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nicht eindeutig</w:t>
            </w:r>
          </w:p>
        </w:tc>
        <w:tc>
          <w:tcPr>
            <w:tcW w:w="833"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roofErr w:type="spellStart"/>
            <w:r w:rsidRPr="006C0983">
              <w:rPr>
                <w:rFonts w:ascii="Arial" w:hAnsi="Arial" w:cs="Arial"/>
                <w:bCs w:val="0"/>
                <w:color w:val="auto"/>
                <w:sz w:val="20"/>
                <w:szCs w:val="20"/>
              </w:rPr>
              <w:t>Missing</w:t>
            </w:r>
            <w:proofErr w:type="spellEnd"/>
          </w:p>
        </w:tc>
        <w:tc>
          <w:tcPr>
            <w:tcW w:w="1092"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Summe Fälle mit Angabe</w:t>
            </w:r>
          </w:p>
        </w:tc>
        <w:tc>
          <w:tcPr>
            <w:tcW w:w="1161"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Daten</w:t>
            </w:r>
            <w:r w:rsidRPr="006C0983">
              <w:rPr>
                <w:rFonts w:ascii="Arial" w:hAnsi="Arial" w:cs="Arial"/>
                <w:bCs w:val="0"/>
                <w:sz w:val="20"/>
                <w:szCs w:val="20"/>
              </w:rPr>
              <w:t>-</w:t>
            </w:r>
            <w:r w:rsidRPr="006C0983">
              <w:rPr>
                <w:rFonts w:ascii="Arial" w:hAnsi="Arial" w:cs="Arial"/>
                <w:bCs w:val="0"/>
                <w:color w:val="auto"/>
                <w:sz w:val="20"/>
                <w:szCs w:val="20"/>
              </w:rPr>
              <w:t>vollständigkeit %</w:t>
            </w:r>
          </w:p>
        </w:tc>
        <w:tc>
          <w:tcPr>
            <w:tcW w:w="1168" w:type="dxa"/>
          </w:tcPr>
          <w:p w:rsidR="006C0983" w:rsidRPr="006C0983" w:rsidRDefault="006C0983">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Anteil Summe bis Anteil Summe mit Angabe (%)</w:t>
            </w:r>
          </w:p>
        </w:tc>
      </w:tr>
      <w:tr w:rsidR="006C0983" w:rsidTr="006C098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0 bis 4 Jahre</w:t>
            </w:r>
          </w:p>
        </w:tc>
        <w:tc>
          <w:tcPr>
            <w:tcW w:w="90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w:t>
            </w:r>
          </w:p>
        </w:tc>
        <w:tc>
          <w:tcPr>
            <w:tcW w:w="111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c>
          <w:tcPr>
            <w:tcW w:w="833"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w:t>
            </w:r>
          </w:p>
        </w:tc>
        <w:tc>
          <w:tcPr>
            <w:tcW w:w="109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c>
          <w:tcPr>
            <w:tcW w:w="1161"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42,86%</w:t>
            </w:r>
          </w:p>
        </w:tc>
        <w:tc>
          <w:tcPr>
            <w:tcW w:w="116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43- 100%</w:t>
            </w:r>
          </w:p>
        </w:tc>
      </w:tr>
      <w:tr w:rsidR="006C0983" w:rsidTr="006C0983">
        <w:trPr>
          <w:trHeight w:val="687"/>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5 bis 14 Jahre</w:t>
            </w:r>
          </w:p>
        </w:tc>
        <w:tc>
          <w:tcPr>
            <w:tcW w:w="90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c>
          <w:tcPr>
            <w:tcW w:w="111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c>
          <w:tcPr>
            <w:tcW w:w="76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33"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w:t>
            </w:r>
          </w:p>
        </w:tc>
        <w:tc>
          <w:tcPr>
            <w:tcW w:w="109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c>
          <w:tcPr>
            <w:tcW w:w="1161"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16,67%</w:t>
            </w:r>
          </w:p>
        </w:tc>
        <w:tc>
          <w:tcPr>
            <w:tcW w:w="116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w:t>
            </w:r>
          </w:p>
        </w:tc>
      </w:tr>
      <w:tr w:rsidR="006C0983" w:rsidTr="006C0983">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15 bis 34 Jahre</w:t>
            </w:r>
          </w:p>
        </w:tc>
        <w:tc>
          <w:tcPr>
            <w:tcW w:w="90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97</w:t>
            </w:r>
          </w:p>
        </w:tc>
        <w:tc>
          <w:tcPr>
            <w:tcW w:w="111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c>
          <w:tcPr>
            <w:tcW w:w="89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w:t>
            </w:r>
          </w:p>
        </w:tc>
        <w:tc>
          <w:tcPr>
            <w:tcW w:w="76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w:t>
            </w:r>
          </w:p>
        </w:tc>
        <w:tc>
          <w:tcPr>
            <w:tcW w:w="833"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69</w:t>
            </w:r>
          </w:p>
        </w:tc>
        <w:tc>
          <w:tcPr>
            <w:tcW w:w="109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w:t>
            </w:r>
          </w:p>
        </w:tc>
        <w:tc>
          <w:tcPr>
            <w:tcW w:w="1161"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28,87%</w:t>
            </w:r>
          </w:p>
        </w:tc>
        <w:tc>
          <w:tcPr>
            <w:tcW w:w="1168" w:type="dxa"/>
          </w:tcPr>
          <w:p w:rsidR="006C0983" w:rsidRDefault="006C0983" w:rsidP="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20-68%</w:t>
            </w:r>
          </w:p>
        </w:tc>
      </w:tr>
      <w:tr w:rsidR="006C0983" w:rsidTr="006C0983">
        <w:trPr>
          <w:trHeight w:val="687"/>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35 bis 59 Jahre</w:t>
            </w:r>
          </w:p>
        </w:tc>
        <w:tc>
          <w:tcPr>
            <w:tcW w:w="90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321</w:t>
            </w:r>
          </w:p>
        </w:tc>
        <w:tc>
          <w:tcPr>
            <w:tcW w:w="111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c>
          <w:tcPr>
            <w:tcW w:w="89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w:t>
            </w:r>
          </w:p>
        </w:tc>
        <w:tc>
          <w:tcPr>
            <w:tcW w:w="76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53</w:t>
            </w:r>
          </w:p>
        </w:tc>
        <w:tc>
          <w:tcPr>
            <w:tcW w:w="833"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231</w:t>
            </w:r>
          </w:p>
        </w:tc>
        <w:tc>
          <w:tcPr>
            <w:tcW w:w="109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c>
          <w:tcPr>
            <w:tcW w:w="1161"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28,04%</w:t>
            </w:r>
          </w:p>
        </w:tc>
        <w:tc>
          <w:tcPr>
            <w:tcW w:w="1168" w:type="dxa"/>
          </w:tcPr>
          <w:p w:rsidR="006C0983" w:rsidRDefault="006C0983" w:rsidP="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24-87%</w:t>
            </w:r>
          </w:p>
        </w:tc>
      </w:tr>
      <w:tr w:rsidR="006C0983" w:rsidTr="006C0983">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60 bis 79 Jahre</w:t>
            </w:r>
          </w:p>
        </w:tc>
        <w:tc>
          <w:tcPr>
            <w:tcW w:w="90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230</w:t>
            </w:r>
          </w:p>
        </w:tc>
        <w:tc>
          <w:tcPr>
            <w:tcW w:w="111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54</w:t>
            </w:r>
          </w:p>
        </w:tc>
        <w:tc>
          <w:tcPr>
            <w:tcW w:w="89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w:t>
            </w:r>
          </w:p>
        </w:tc>
        <w:tc>
          <w:tcPr>
            <w:tcW w:w="768"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p>
        </w:tc>
        <w:tc>
          <w:tcPr>
            <w:tcW w:w="833"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144</w:t>
            </w:r>
          </w:p>
        </w:tc>
        <w:tc>
          <w:tcPr>
            <w:tcW w:w="1092"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86</w:t>
            </w:r>
          </w:p>
        </w:tc>
        <w:tc>
          <w:tcPr>
            <w:tcW w:w="1161" w:type="dxa"/>
          </w:tcPr>
          <w:p w:rsid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37,39%</w:t>
            </w:r>
          </w:p>
        </w:tc>
        <w:tc>
          <w:tcPr>
            <w:tcW w:w="1168" w:type="dxa"/>
          </w:tcPr>
          <w:p w:rsidR="006C0983" w:rsidRDefault="006C0983" w:rsidP="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34-91%</w:t>
            </w:r>
          </w:p>
        </w:tc>
      </w:tr>
      <w:tr w:rsidR="006C0983" w:rsidTr="006C0983">
        <w:trPr>
          <w:trHeight w:val="452"/>
        </w:trPr>
        <w:tc>
          <w:tcPr>
            <w:cnfStyle w:val="001000000000" w:firstRow="0" w:lastRow="0" w:firstColumn="1" w:lastColumn="0" w:oddVBand="0" w:evenVBand="0" w:oddHBand="0" w:evenHBand="0" w:firstRowFirstColumn="0" w:firstRowLastColumn="0" w:lastRowFirstColumn="0" w:lastRowLastColumn="0"/>
            <w:tcW w:w="1018" w:type="dxa"/>
          </w:tcPr>
          <w:p w:rsidR="006C0983" w:rsidRDefault="006C0983">
            <w:pPr>
              <w:jc w:val="right"/>
              <w:rPr>
                <w:rFonts w:ascii="Arial" w:hAnsi="Arial" w:cs="Arial"/>
                <w:color w:val="000000"/>
                <w:sz w:val="20"/>
                <w:szCs w:val="20"/>
              </w:rPr>
            </w:pPr>
            <w:r>
              <w:rPr>
                <w:rFonts w:ascii="Arial" w:hAnsi="Arial" w:cs="Arial"/>
                <w:color w:val="000000"/>
                <w:sz w:val="20"/>
                <w:szCs w:val="20"/>
              </w:rPr>
              <w:t xml:space="preserve">  80 und älter</w:t>
            </w:r>
          </w:p>
        </w:tc>
        <w:tc>
          <w:tcPr>
            <w:tcW w:w="90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99</w:t>
            </w:r>
          </w:p>
        </w:tc>
        <w:tc>
          <w:tcPr>
            <w:tcW w:w="111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w:t>
            </w:r>
          </w:p>
        </w:tc>
        <w:tc>
          <w:tcPr>
            <w:tcW w:w="89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w:t>
            </w:r>
          </w:p>
        </w:tc>
        <w:tc>
          <w:tcPr>
            <w:tcW w:w="833"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65</w:t>
            </w:r>
          </w:p>
        </w:tc>
        <w:tc>
          <w:tcPr>
            <w:tcW w:w="1092"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w:t>
            </w:r>
          </w:p>
        </w:tc>
        <w:tc>
          <w:tcPr>
            <w:tcW w:w="1161"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34,34%</w:t>
            </w:r>
          </w:p>
        </w:tc>
        <w:tc>
          <w:tcPr>
            <w:tcW w:w="1168" w:type="dxa"/>
          </w:tcPr>
          <w:p w:rsidR="006C0983" w:rsidRDefault="006C09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34-100%</w:t>
            </w:r>
          </w:p>
        </w:tc>
      </w:tr>
      <w:tr w:rsidR="006C0983" w:rsidTr="006C098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18" w:type="dxa"/>
          </w:tcPr>
          <w:p w:rsidR="006C0983" w:rsidRPr="008E2972" w:rsidRDefault="006C0983">
            <w:pPr>
              <w:jc w:val="right"/>
              <w:rPr>
                <w:rFonts w:ascii="Arial" w:hAnsi="Arial" w:cs="Arial"/>
                <w:color w:val="000000"/>
                <w:sz w:val="20"/>
                <w:szCs w:val="20"/>
              </w:rPr>
            </w:pPr>
            <w:r w:rsidRPr="008E2972">
              <w:rPr>
                <w:rFonts w:ascii="Arial" w:hAnsi="Arial" w:cs="Arial"/>
                <w:color w:val="000000"/>
                <w:sz w:val="20"/>
                <w:szCs w:val="20"/>
              </w:rPr>
              <w:t>gesamt</w:t>
            </w:r>
          </w:p>
        </w:tc>
        <w:tc>
          <w:tcPr>
            <w:tcW w:w="902"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760</w:t>
            </w:r>
          </w:p>
        </w:tc>
        <w:tc>
          <w:tcPr>
            <w:tcW w:w="1118"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117</w:t>
            </w:r>
          </w:p>
        </w:tc>
        <w:tc>
          <w:tcPr>
            <w:tcW w:w="898"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30</w:t>
            </w:r>
          </w:p>
        </w:tc>
        <w:tc>
          <w:tcPr>
            <w:tcW w:w="768"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95</w:t>
            </w:r>
          </w:p>
        </w:tc>
        <w:tc>
          <w:tcPr>
            <w:tcW w:w="833"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518</w:t>
            </w:r>
          </w:p>
        </w:tc>
        <w:tc>
          <w:tcPr>
            <w:tcW w:w="1092"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242</w:t>
            </w:r>
          </w:p>
        </w:tc>
        <w:tc>
          <w:tcPr>
            <w:tcW w:w="1161" w:type="dxa"/>
          </w:tcPr>
          <w:p w:rsidR="006C0983" w:rsidRPr="006C0983" w:rsidRDefault="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31,84%</w:t>
            </w:r>
          </w:p>
        </w:tc>
        <w:tc>
          <w:tcPr>
            <w:tcW w:w="1168" w:type="dxa"/>
          </w:tcPr>
          <w:p w:rsidR="006C0983" w:rsidRPr="006C0983" w:rsidRDefault="006C0983" w:rsidP="006C0983">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6C0983">
              <w:rPr>
                <w:rFonts w:ascii="Arial" w:hAnsi="Arial" w:cs="Arial"/>
                <w:b/>
                <w:color w:val="000000"/>
                <w:sz w:val="20"/>
                <w:szCs w:val="20"/>
              </w:rPr>
              <w:t>28-88%</w:t>
            </w:r>
          </w:p>
        </w:tc>
      </w:tr>
    </w:tbl>
    <w:p w:rsidR="006C0983" w:rsidRDefault="006C0983" w:rsidP="00B619F2">
      <w:pPr>
        <w:pStyle w:val="Listenabsatz"/>
        <w:ind w:left="0"/>
      </w:pPr>
    </w:p>
    <w:p w:rsidR="006C0983" w:rsidRDefault="006C0983" w:rsidP="00B619F2">
      <w:pPr>
        <w:pStyle w:val="Listenabsatz"/>
        <w:ind w:left="0"/>
      </w:pPr>
    </w:p>
    <w:p w:rsidR="006C0983" w:rsidRDefault="006C0983" w:rsidP="00B619F2">
      <w:pPr>
        <w:pStyle w:val="Listenabsatz"/>
        <w:ind w:left="0"/>
      </w:pPr>
    </w:p>
    <w:p w:rsidR="001C70BC" w:rsidRDefault="001C70BC" w:rsidP="00156658">
      <w:pPr>
        <w:pStyle w:val="Listenabsatz"/>
        <w:spacing w:after="0" w:line="240" w:lineRule="auto"/>
        <w:ind w:left="0"/>
        <w:rPr>
          <w:szCs w:val="20"/>
        </w:rPr>
      </w:pPr>
      <w:r w:rsidRPr="00AB3CBC">
        <w:rPr>
          <w:b/>
          <w:szCs w:val="20"/>
        </w:rPr>
        <w:lastRenderedPageBreak/>
        <w:t>Tabelle 4</w:t>
      </w:r>
      <w:r w:rsidRPr="00AB3CBC">
        <w:rPr>
          <w:szCs w:val="20"/>
        </w:rPr>
        <w:t xml:space="preserve">: Angabe zu den Risikoausprägungen (altersunspezifisch) unter den Hospitalisierten (gemeldet bis zum 16.03.2020). </w:t>
      </w:r>
    </w:p>
    <w:tbl>
      <w:tblPr>
        <w:tblStyle w:val="HelleSchattierung-Akzent1"/>
        <w:tblW w:w="0" w:type="auto"/>
        <w:tblLook w:val="04A0" w:firstRow="1" w:lastRow="0" w:firstColumn="1" w:lastColumn="0" w:noHBand="0" w:noVBand="1"/>
      </w:tblPr>
      <w:tblGrid>
        <w:gridCol w:w="1011"/>
        <w:gridCol w:w="1016"/>
        <w:gridCol w:w="1022"/>
        <w:gridCol w:w="1010"/>
        <w:gridCol w:w="1017"/>
        <w:gridCol w:w="1161"/>
        <w:gridCol w:w="1017"/>
        <w:gridCol w:w="1017"/>
        <w:gridCol w:w="1017"/>
      </w:tblGrid>
      <w:tr w:rsidR="001C70BC" w:rsidTr="00AB3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rsidR="001C70BC" w:rsidRPr="00AB3CBC" w:rsidRDefault="001C70BC" w:rsidP="00AB3CBC">
            <w:pPr>
              <w:jc w:val="right"/>
              <w:rPr>
                <w:rFonts w:cstheme="minorHAnsi"/>
                <w:color w:val="auto"/>
                <w:sz w:val="20"/>
                <w:szCs w:val="20"/>
              </w:rPr>
            </w:pPr>
            <w:r w:rsidRPr="00AB3CBC">
              <w:rPr>
                <w:rFonts w:cstheme="minorHAnsi"/>
                <w:color w:val="auto"/>
                <w:sz w:val="20"/>
                <w:szCs w:val="20"/>
              </w:rPr>
              <w:t>Risiko</w:t>
            </w:r>
          </w:p>
        </w:tc>
        <w:tc>
          <w:tcPr>
            <w:tcW w:w="1016"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Herz</w:t>
            </w:r>
          </w:p>
        </w:tc>
        <w:tc>
          <w:tcPr>
            <w:tcW w:w="1022"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Diabetes</w:t>
            </w:r>
          </w:p>
        </w:tc>
        <w:tc>
          <w:tcPr>
            <w:tcW w:w="1010"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Leber</w:t>
            </w:r>
          </w:p>
        </w:tc>
        <w:tc>
          <w:tcPr>
            <w:tcW w:w="1017"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sidRPr="00AB3CBC">
              <w:rPr>
                <w:rFonts w:cstheme="minorHAnsi"/>
                <w:color w:val="auto"/>
                <w:sz w:val="20"/>
                <w:szCs w:val="20"/>
              </w:rPr>
              <w:t>Neuro</w:t>
            </w:r>
            <w:proofErr w:type="spellEnd"/>
          </w:p>
        </w:tc>
        <w:tc>
          <w:tcPr>
            <w:tcW w:w="1161"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sidRPr="00AB3CBC">
              <w:rPr>
                <w:rFonts w:cstheme="minorHAnsi"/>
                <w:color w:val="auto"/>
                <w:sz w:val="20"/>
                <w:szCs w:val="20"/>
              </w:rPr>
              <w:t>Immundef</w:t>
            </w:r>
            <w:proofErr w:type="spellEnd"/>
            <w:r w:rsidRPr="00AB3CBC">
              <w:rPr>
                <w:rFonts w:cstheme="minorHAnsi"/>
                <w:color w:val="auto"/>
                <w:sz w:val="20"/>
                <w:szCs w:val="20"/>
              </w:rPr>
              <w:t>.</w:t>
            </w:r>
          </w:p>
        </w:tc>
        <w:tc>
          <w:tcPr>
            <w:tcW w:w="1017"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Niere</w:t>
            </w:r>
          </w:p>
        </w:tc>
        <w:tc>
          <w:tcPr>
            <w:tcW w:w="1017"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Lunge</w:t>
            </w:r>
          </w:p>
        </w:tc>
        <w:tc>
          <w:tcPr>
            <w:tcW w:w="1017" w:type="dxa"/>
          </w:tcPr>
          <w:p w:rsidR="001C70BC" w:rsidRPr="00AB3CBC" w:rsidRDefault="001C70BC" w:rsidP="00AB3CBC">
            <w:pPr>
              <w:jc w:val="right"/>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B3CBC">
              <w:rPr>
                <w:rFonts w:cstheme="minorHAnsi"/>
                <w:color w:val="auto"/>
                <w:sz w:val="20"/>
                <w:szCs w:val="20"/>
              </w:rPr>
              <w:t>Krebs</w:t>
            </w:r>
          </w:p>
        </w:tc>
      </w:tr>
      <w:tr w:rsidR="001C70BC" w:rsidTr="00AB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rsidR="001C70BC" w:rsidRPr="00AB3CBC" w:rsidRDefault="001C70BC" w:rsidP="00AB3CBC">
            <w:pPr>
              <w:jc w:val="right"/>
              <w:rPr>
                <w:rFonts w:cstheme="minorHAnsi"/>
                <w:color w:val="auto"/>
                <w:sz w:val="20"/>
                <w:szCs w:val="20"/>
              </w:rPr>
            </w:pPr>
            <w:r w:rsidRPr="00AB3CBC">
              <w:rPr>
                <w:rFonts w:cstheme="minorHAnsi"/>
                <w:color w:val="auto"/>
                <w:sz w:val="20"/>
                <w:szCs w:val="20"/>
              </w:rPr>
              <w:t>Anzahl</w:t>
            </w:r>
          </w:p>
        </w:tc>
        <w:tc>
          <w:tcPr>
            <w:tcW w:w="1016"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81</w:t>
            </w:r>
          </w:p>
        </w:tc>
        <w:tc>
          <w:tcPr>
            <w:tcW w:w="1022"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26</w:t>
            </w:r>
          </w:p>
        </w:tc>
        <w:tc>
          <w:tcPr>
            <w:tcW w:w="1010"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3</w:t>
            </w:r>
          </w:p>
        </w:tc>
        <w:tc>
          <w:tcPr>
            <w:tcW w:w="1017"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18</w:t>
            </w:r>
          </w:p>
        </w:tc>
        <w:tc>
          <w:tcPr>
            <w:tcW w:w="1161"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9</w:t>
            </w:r>
          </w:p>
        </w:tc>
        <w:tc>
          <w:tcPr>
            <w:tcW w:w="1017"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19</w:t>
            </w:r>
          </w:p>
        </w:tc>
        <w:tc>
          <w:tcPr>
            <w:tcW w:w="1017"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28</w:t>
            </w:r>
          </w:p>
        </w:tc>
        <w:tc>
          <w:tcPr>
            <w:tcW w:w="1017" w:type="dxa"/>
          </w:tcPr>
          <w:p w:rsidR="001C70BC" w:rsidRPr="00AB3CBC" w:rsidRDefault="00AB3CBC" w:rsidP="00AB3CBC">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B3CBC">
              <w:rPr>
                <w:rFonts w:cstheme="minorHAnsi"/>
                <w:color w:val="auto"/>
                <w:sz w:val="20"/>
                <w:szCs w:val="20"/>
              </w:rPr>
              <w:t>21</w:t>
            </w:r>
          </w:p>
        </w:tc>
      </w:tr>
    </w:tbl>
    <w:p w:rsidR="001C70BC" w:rsidRDefault="001C70BC" w:rsidP="00156658">
      <w:pPr>
        <w:pStyle w:val="Listenabsatz"/>
        <w:spacing w:after="0" w:line="240" w:lineRule="auto"/>
        <w:ind w:left="0"/>
        <w:rPr>
          <w:sz w:val="20"/>
          <w:szCs w:val="20"/>
        </w:rPr>
      </w:pPr>
    </w:p>
    <w:p w:rsidR="006C0983" w:rsidRPr="00097901" w:rsidRDefault="00AB3CBC" w:rsidP="006C0983">
      <w:pPr>
        <w:pStyle w:val="Listenabsatz"/>
        <w:ind w:left="0"/>
        <w:rPr>
          <w:color w:val="FF0000"/>
        </w:rPr>
      </w:pPr>
      <w:r w:rsidRPr="00097901">
        <w:rPr>
          <w:b/>
          <w:color w:val="FF0000"/>
        </w:rPr>
        <w:t>Tabelle 5</w:t>
      </w:r>
      <w:r w:rsidR="004F1274" w:rsidRPr="00097901">
        <w:rPr>
          <w:b/>
          <w:color w:val="FF0000"/>
        </w:rPr>
        <w:t>:</w:t>
      </w:r>
      <w:r w:rsidR="001930C6" w:rsidRPr="00097901">
        <w:rPr>
          <w:color w:val="FF0000"/>
        </w:rPr>
        <w:t xml:space="preserve"> </w:t>
      </w:r>
      <w:r w:rsidR="006C0983" w:rsidRPr="00097901">
        <w:rPr>
          <w:color w:val="FF0000"/>
        </w:rPr>
        <w:t xml:space="preserve">Angabe zum Risiko unter </w:t>
      </w:r>
      <w:r w:rsidR="006C0983" w:rsidRPr="00097901">
        <w:rPr>
          <w:color w:val="FF0000"/>
        </w:rPr>
        <w:t>verstorbene</w:t>
      </w:r>
      <w:r w:rsidR="008E2972" w:rsidRPr="00097901">
        <w:rPr>
          <w:color w:val="FF0000"/>
        </w:rPr>
        <w:t>n</w:t>
      </w:r>
      <w:r w:rsidR="006C0983" w:rsidRPr="00097901">
        <w:rPr>
          <w:color w:val="FF0000"/>
        </w:rPr>
        <w:t xml:space="preserve"> </w:t>
      </w:r>
      <w:r w:rsidR="006C0983" w:rsidRPr="00097901">
        <w:rPr>
          <w:color w:val="FF0000"/>
        </w:rPr>
        <w:t xml:space="preserve"> Fällen. </w:t>
      </w:r>
    </w:p>
    <w:p w:rsidR="006C0983" w:rsidRPr="00097901" w:rsidRDefault="006C0983" w:rsidP="006C0983">
      <w:pPr>
        <w:pStyle w:val="Listenabsatz"/>
        <w:ind w:left="0"/>
        <w:rPr>
          <w:color w:val="FF0000"/>
        </w:rPr>
      </w:pPr>
      <w:r w:rsidRPr="00097901">
        <w:rPr>
          <w:color w:val="FF0000"/>
        </w:rPr>
        <w:t xml:space="preserve">Gesamtzahl hospitalisierter Fälle: 760 </w:t>
      </w:r>
    </w:p>
    <w:p w:rsidR="006C0983" w:rsidRPr="00097901" w:rsidRDefault="006C0983" w:rsidP="006C0983">
      <w:pPr>
        <w:pStyle w:val="Listenabsatz"/>
        <w:ind w:left="0"/>
        <w:rPr>
          <w:color w:val="FF0000"/>
        </w:rPr>
      </w:pPr>
      <w:proofErr w:type="spellStart"/>
      <w:r w:rsidRPr="00097901">
        <w:rPr>
          <w:color w:val="FF0000"/>
        </w:rPr>
        <w:t>Missing</w:t>
      </w:r>
      <w:proofErr w:type="spellEnd"/>
      <w:r w:rsidRPr="00097901">
        <w:rPr>
          <w:color w:val="FF0000"/>
        </w:rPr>
        <w:t xml:space="preserve">: </w:t>
      </w:r>
      <w:r w:rsidR="00097901">
        <w:rPr>
          <w:color w:val="FF0000"/>
        </w:rPr>
        <w:t xml:space="preserve">Angaben mit </w:t>
      </w:r>
      <w:bookmarkStart w:id="3" w:name="_GoBack"/>
      <w:bookmarkEnd w:id="3"/>
      <w:r w:rsidRPr="00097901">
        <w:rPr>
          <w:color w:val="FF0000"/>
        </w:rPr>
        <w:t>nicht erhoben, nicht ermittelbar</w:t>
      </w:r>
    </w:p>
    <w:p w:rsidR="006C0983" w:rsidRPr="00097901" w:rsidRDefault="006C0983" w:rsidP="006C0983">
      <w:pPr>
        <w:pStyle w:val="Listenabsatz"/>
        <w:ind w:left="0"/>
        <w:rPr>
          <w:color w:val="FF0000"/>
        </w:rPr>
      </w:pPr>
      <w:r w:rsidRPr="00097901">
        <w:rPr>
          <w:color w:val="FF0000"/>
        </w:rPr>
        <w:t xml:space="preserve">Bei der Berechnung der Spanne des Anteils von Fälle mit Risiko sind sowohl Fälle mit der Angabe zum Risiko &lt;ja&gt; als auch Fälle mit der Angabe &lt;nicht eindeutig&gt; berücksichtigt. Fälle mit nicht eindeutiger Angabe werden hier mit positiver Angabe zum Risiko bewertet. </w:t>
      </w:r>
    </w:p>
    <w:p w:rsidR="006C0983" w:rsidRPr="00097901" w:rsidRDefault="006C0983" w:rsidP="006C0983">
      <w:pPr>
        <w:pStyle w:val="Listenabsatz"/>
        <w:ind w:left="0"/>
        <w:rPr>
          <w:color w:val="FF0000"/>
        </w:rPr>
      </w:pPr>
      <w:r w:rsidRPr="00097901">
        <w:rPr>
          <w:color w:val="FF0000"/>
        </w:rPr>
        <w:t xml:space="preserve">Die Datenvollständigkeit bezieht sich auf den Anteil der Fälle mit Angabe zum Risiko (ja, nein, nicht eindeutig) bezogen auf alle </w:t>
      </w:r>
      <w:r w:rsidR="008E2972" w:rsidRPr="00097901">
        <w:rPr>
          <w:color w:val="FF0000"/>
        </w:rPr>
        <w:t xml:space="preserve">verstorbenen </w:t>
      </w:r>
      <w:r w:rsidRPr="00097901">
        <w:rPr>
          <w:color w:val="FF0000"/>
        </w:rPr>
        <w:t xml:space="preserve"> Fälle (</w:t>
      </w:r>
      <w:proofErr w:type="spellStart"/>
      <w:r w:rsidR="008E2972" w:rsidRPr="00097901">
        <w:rPr>
          <w:color w:val="FF0000"/>
        </w:rPr>
        <w:t>Verstorbenstatus</w:t>
      </w:r>
      <w:proofErr w:type="spellEnd"/>
      <w:r w:rsidR="008E2972" w:rsidRPr="00097901">
        <w:rPr>
          <w:color w:val="FF0000"/>
        </w:rPr>
        <w:t xml:space="preserve"> </w:t>
      </w:r>
      <w:r w:rsidRPr="00097901">
        <w:rPr>
          <w:color w:val="FF0000"/>
        </w:rPr>
        <w:t xml:space="preserve"> ja). </w:t>
      </w:r>
    </w:p>
    <w:tbl>
      <w:tblPr>
        <w:tblStyle w:val="HelleSchattierung-Akzent1"/>
        <w:tblW w:w="0" w:type="auto"/>
        <w:tblLayout w:type="fixed"/>
        <w:tblLook w:val="04A0" w:firstRow="1" w:lastRow="0" w:firstColumn="1" w:lastColumn="0" w:noHBand="0" w:noVBand="1"/>
      </w:tblPr>
      <w:tblGrid>
        <w:gridCol w:w="1018"/>
        <w:gridCol w:w="902"/>
        <w:gridCol w:w="1118"/>
        <w:gridCol w:w="898"/>
        <w:gridCol w:w="768"/>
        <w:gridCol w:w="833"/>
        <w:gridCol w:w="1092"/>
        <w:gridCol w:w="1161"/>
        <w:gridCol w:w="1168"/>
      </w:tblGrid>
      <w:tr w:rsidR="006C0983" w:rsidTr="007E710D">
        <w:trPr>
          <w:cnfStyle w:val="100000000000" w:firstRow="1" w:lastRow="0" w:firstColumn="0" w:lastColumn="0" w:oddVBand="0" w:evenVBand="0" w:oddHBand="0"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1018" w:type="dxa"/>
          </w:tcPr>
          <w:p w:rsidR="006C0983" w:rsidRPr="006C0983" w:rsidRDefault="006C0983" w:rsidP="007E710D">
            <w:pPr>
              <w:jc w:val="right"/>
              <w:rPr>
                <w:rFonts w:ascii="Arial" w:hAnsi="Arial" w:cs="Arial"/>
                <w:color w:val="auto"/>
                <w:sz w:val="20"/>
                <w:szCs w:val="20"/>
              </w:rPr>
            </w:pPr>
            <w:r w:rsidRPr="006C0983">
              <w:rPr>
                <w:rFonts w:ascii="Arial" w:hAnsi="Arial" w:cs="Arial"/>
                <w:bCs w:val="0"/>
                <w:color w:val="auto"/>
                <w:sz w:val="20"/>
                <w:szCs w:val="20"/>
              </w:rPr>
              <w:t>Angabe</w:t>
            </w:r>
          </w:p>
        </w:tc>
        <w:tc>
          <w:tcPr>
            <w:tcW w:w="902"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Cs w:val="0"/>
                <w:color w:val="auto"/>
                <w:sz w:val="20"/>
                <w:szCs w:val="20"/>
              </w:rPr>
              <w:t>verstorben</w:t>
            </w:r>
          </w:p>
        </w:tc>
        <w:tc>
          <w:tcPr>
            <w:tcW w:w="1118"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Risiko ja</w:t>
            </w:r>
          </w:p>
        </w:tc>
        <w:tc>
          <w:tcPr>
            <w:tcW w:w="898"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Risiko nein</w:t>
            </w:r>
          </w:p>
        </w:tc>
        <w:tc>
          <w:tcPr>
            <w:tcW w:w="768"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nicht eindeutig</w:t>
            </w:r>
          </w:p>
        </w:tc>
        <w:tc>
          <w:tcPr>
            <w:tcW w:w="833"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roofErr w:type="spellStart"/>
            <w:r w:rsidRPr="006C0983">
              <w:rPr>
                <w:rFonts w:ascii="Arial" w:hAnsi="Arial" w:cs="Arial"/>
                <w:bCs w:val="0"/>
                <w:color w:val="auto"/>
                <w:sz w:val="20"/>
                <w:szCs w:val="20"/>
              </w:rPr>
              <w:t>Missing</w:t>
            </w:r>
            <w:proofErr w:type="spellEnd"/>
          </w:p>
        </w:tc>
        <w:tc>
          <w:tcPr>
            <w:tcW w:w="1092"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Summe Fälle mit Angabe</w:t>
            </w:r>
          </w:p>
        </w:tc>
        <w:tc>
          <w:tcPr>
            <w:tcW w:w="1161"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Daten</w:t>
            </w:r>
            <w:r w:rsidRPr="006C0983">
              <w:rPr>
                <w:rFonts w:ascii="Arial" w:hAnsi="Arial" w:cs="Arial"/>
                <w:bCs w:val="0"/>
                <w:sz w:val="20"/>
                <w:szCs w:val="20"/>
              </w:rPr>
              <w:t>-</w:t>
            </w:r>
            <w:r w:rsidRPr="006C0983">
              <w:rPr>
                <w:rFonts w:ascii="Arial" w:hAnsi="Arial" w:cs="Arial"/>
                <w:bCs w:val="0"/>
                <w:color w:val="auto"/>
                <w:sz w:val="20"/>
                <w:szCs w:val="20"/>
              </w:rPr>
              <w:t>vollständigkeit %</w:t>
            </w:r>
          </w:p>
        </w:tc>
        <w:tc>
          <w:tcPr>
            <w:tcW w:w="1168" w:type="dxa"/>
          </w:tcPr>
          <w:p w:rsidR="006C0983" w:rsidRPr="006C0983" w:rsidRDefault="006C0983" w:rsidP="007E710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C0983">
              <w:rPr>
                <w:rFonts w:ascii="Arial" w:hAnsi="Arial" w:cs="Arial"/>
                <w:bCs w:val="0"/>
                <w:color w:val="auto"/>
                <w:sz w:val="20"/>
                <w:szCs w:val="20"/>
              </w:rPr>
              <w:t>Anteil Summe bis Anteil Summe mit Angabe (%)</w:t>
            </w:r>
          </w:p>
        </w:tc>
      </w:tr>
      <w:tr w:rsidR="008E2972" w:rsidTr="00564F2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0 bis 4 Jahre</w:t>
            </w:r>
          </w:p>
        </w:tc>
        <w:tc>
          <w:tcPr>
            <w:tcW w:w="90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1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33"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9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61"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w:t>
            </w:r>
          </w:p>
        </w:tc>
        <w:tc>
          <w:tcPr>
            <w:tcW w:w="1168" w:type="dxa"/>
          </w:tcPr>
          <w:p w:rsidR="008E2972" w:rsidRPr="008E2972" w:rsidRDefault="008E2972" w:rsidP="007E710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0%</w:t>
            </w:r>
          </w:p>
        </w:tc>
      </w:tr>
      <w:tr w:rsidR="008E2972" w:rsidTr="00564F24">
        <w:trPr>
          <w:trHeight w:val="687"/>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5 bis 14 Jahre</w:t>
            </w:r>
          </w:p>
        </w:tc>
        <w:tc>
          <w:tcPr>
            <w:tcW w:w="90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1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33"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9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61"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w:t>
            </w:r>
          </w:p>
        </w:tc>
        <w:tc>
          <w:tcPr>
            <w:tcW w:w="1168" w:type="dxa"/>
          </w:tcPr>
          <w:p w:rsidR="008E2972" w:rsidRPr="008E2972" w:rsidRDefault="008E2972" w:rsidP="007E710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0%</w:t>
            </w:r>
          </w:p>
        </w:tc>
      </w:tr>
      <w:tr w:rsidR="008E2972" w:rsidTr="00564F24">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15 bis 34 Jahre</w:t>
            </w:r>
          </w:p>
        </w:tc>
        <w:tc>
          <w:tcPr>
            <w:tcW w:w="90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1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33"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9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61"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w:t>
            </w:r>
          </w:p>
        </w:tc>
        <w:tc>
          <w:tcPr>
            <w:tcW w:w="1168" w:type="dxa"/>
          </w:tcPr>
          <w:p w:rsidR="008E2972" w:rsidRPr="008E2972" w:rsidRDefault="008E2972" w:rsidP="007E710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0%</w:t>
            </w:r>
          </w:p>
        </w:tc>
      </w:tr>
      <w:tr w:rsidR="008E2972" w:rsidTr="00564F24">
        <w:trPr>
          <w:trHeight w:val="687"/>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35 bis 59 Jahre</w:t>
            </w:r>
          </w:p>
        </w:tc>
        <w:tc>
          <w:tcPr>
            <w:tcW w:w="90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c>
          <w:tcPr>
            <w:tcW w:w="111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9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833"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c>
          <w:tcPr>
            <w:tcW w:w="109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61"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w:t>
            </w:r>
          </w:p>
        </w:tc>
        <w:tc>
          <w:tcPr>
            <w:tcW w:w="1168" w:type="dxa"/>
          </w:tcPr>
          <w:p w:rsidR="008E2972" w:rsidRPr="008E2972" w:rsidRDefault="008E2972" w:rsidP="007E710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0%</w:t>
            </w:r>
          </w:p>
        </w:tc>
      </w:tr>
      <w:tr w:rsidR="008E2972" w:rsidTr="00564F24">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60 bis 79 Jahre</w:t>
            </w:r>
          </w:p>
        </w:tc>
        <w:tc>
          <w:tcPr>
            <w:tcW w:w="90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w:t>
            </w:r>
          </w:p>
        </w:tc>
        <w:tc>
          <w:tcPr>
            <w:tcW w:w="111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w:t>
            </w:r>
          </w:p>
        </w:tc>
        <w:tc>
          <w:tcPr>
            <w:tcW w:w="89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c>
          <w:tcPr>
            <w:tcW w:w="833"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w:t>
            </w:r>
          </w:p>
        </w:tc>
        <w:tc>
          <w:tcPr>
            <w:tcW w:w="1092"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c>
          <w:tcPr>
            <w:tcW w:w="1161" w:type="dxa"/>
            <w:vAlign w:val="bottom"/>
          </w:tcPr>
          <w:p w:rsid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45,45%</w:t>
            </w:r>
          </w:p>
        </w:tc>
        <w:tc>
          <w:tcPr>
            <w:tcW w:w="1168" w:type="dxa"/>
          </w:tcPr>
          <w:p w:rsidR="008E2972" w:rsidRPr="008E2972" w:rsidRDefault="008E2972" w:rsidP="007E710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45-100%</w:t>
            </w:r>
          </w:p>
        </w:tc>
      </w:tr>
      <w:tr w:rsidR="008E2972" w:rsidTr="00564F24">
        <w:trPr>
          <w:trHeight w:val="452"/>
        </w:trPr>
        <w:tc>
          <w:tcPr>
            <w:cnfStyle w:val="001000000000" w:firstRow="0" w:lastRow="0" w:firstColumn="1" w:lastColumn="0" w:oddVBand="0" w:evenVBand="0" w:oddHBand="0" w:evenHBand="0" w:firstRowFirstColumn="0" w:firstRowLastColumn="0" w:lastRowFirstColumn="0" w:lastRowLastColumn="0"/>
            <w:tcW w:w="1018" w:type="dxa"/>
          </w:tcPr>
          <w:p w:rsidR="008E2972" w:rsidRDefault="008E2972" w:rsidP="007E710D">
            <w:pPr>
              <w:jc w:val="right"/>
              <w:rPr>
                <w:rFonts w:ascii="Arial" w:hAnsi="Arial" w:cs="Arial"/>
                <w:color w:val="000000"/>
                <w:sz w:val="20"/>
                <w:szCs w:val="20"/>
              </w:rPr>
            </w:pPr>
            <w:r>
              <w:rPr>
                <w:rFonts w:ascii="Arial" w:hAnsi="Arial" w:cs="Arial"/>
                <w:color w:val="000000"/>
                <w:sz w:val="20"/>
                <w:szCs w:val="20"/>
              </w:rPr>
              <w:t xml:space="preserve">  80 und älter</w:t>
            </w:r>
          </w:p>
        </w:tc>
        <w:tc>
          <w:tcPr>
            <w:tcW w:w="90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c>
          <w:tcPr>
            <w:tcW w:w="111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w:t>
            </w:r>
          </w:p>
        </w:tc>
        <w:tc>
          <w:tcPr>
            <w:tcW w:w="89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768"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c>
          <w:tcPr>
            <w:tcW w:w="833"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c>
          <w:tcPr>
            <w:tcW w:w="1092"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1161" w:type="dxa"/>
            <w:vAlign w:val="bottom"/>
          </w:tcPr>
          <w:p w:rsidR="008E2972" w:rsidRDefault="008E29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40,00%</w:t>
            </w:r>
          </w:p>
        </w:tc>
        <w:tc>
          <w:tcPr>
            <w:tcW w:w="1168" w:type="dxa"/>
          </w:tcPr>
          <w:p w:rsidR="008E2972" w:rsidRPr="008E2972" w:rsidRDefault="008E2972" w:rsidP="007E710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40-100%</w:t>
            </w:r>
          </w:p>
        </w:tc>
      </w:tr>
      <w:tr w:rsidR="008E2972" w:rsidTr="00564F2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18" w:type="dxa"/>
          </w:tcPr>
          <w:p w:rsidR="008E2972" w:rsidRPr="008E2972" w:rsidRDefault="008E2972" w:rsidP="007E710D">
            <w:pPr>
              <w:jc w:val="right"/>
              <w:rPr>
                <w:rFonts w:ascii="Arial" w:hAnsi="Arial" w:cs="Arial"/>
                <w:color w:val="000000"/>
                <w:sz w:val="20"/>
                <w:szCs w:val="20"/>
              </w:rPr>
            </w:pPr>
            <w:r w:rsidRPr="008E2972">
              <w:rPr>
                <w:rFonts w:ascii="Arial" w:hAnsi="Arial" w:cs="Arial"/>
                <w:color w:val="000000"/>
                <w:sz w:val="20"/>
                <w:szCs w:val="20"/>
              </w:rPr>
              <w:t>gesamt</w:t>
            </w:r>
          </w:p>
        </w:tc>
        <w:tc>
          <w:tcPr>
            <w:tcW w:w="902"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75</w:t>
            </w:r>
          </w:p>
        </w:tc>
        <w:tc>
          <w:tcPr>
            <w:tcW w:w="1118"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28</w:t>
            </w:r>
          </w:p>
        </w:tc>
        <w:tc>
          <w:tcPr>
            <w:tcW w:w="898"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0</w:t>
            </w:r>
          </w:p>
        </w:tc>
        <w:tc>
          <w:tcPr>
            <w:tcW w:w="768"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2</w:t>
            </w:r>
          </w:p>
        </w:tc>
        <w:tc>
          <w:tcPr>
            <w:tcW w:w="833"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45</w:t>
            </w:r>
          </w:p>
        </w:tc>
        <w:tc>
          <w:tcPr>
            <w:tcW w:w="1092"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30</w:t>
            </w:r>
          </w:p>
        </w:tc>
        <w:tc>
          <w:tcPr>
            <w:tcW w:w="1161" w:type="dxa"/>
            <w:vAlign w:val="bottom"/>
          </w:tcPr>
          <w:p w:rsidR="008E2972" w:rsidRPr="008E2972" w:rsidRDefault="008E297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40,00%</w:t>
            </w:r>
          </w:p>
        </w:tc>
        <w:tc>
          <w:tcPr>
            <w:tcW w:w="1168" w:type="dxa"/>
          </w:tcPr>
          <w:p w:rsidR="008E2972" w:rsidRPr="008E2972" w:rsidRDefault="008E2972" w:rsidP="007E710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8E2972">
              <w:rPr>
                <w:rFonts w:ascii="Arial" w:hAnsi="Arial" w:cs="Arial"/>
                <w:b/>
                <w:color w:val="000000"/>
                <w:sz w:val="20"/>
                <w:szCs w:val="20"/>
              </w:rPr>
              <w:t>40-100%</w:t>
            </w:r>
          </w:p>
        </w:tc>
      </w:tr>
    </w:tbl>
    <w:p w:rsidR="006C0983" w:rsidRDefault="006C0983" w:rsidP="004F1274">
      <w:pPr>
        <w:rPr>
          <w:b/>
        </w:rPr>
      </w:pPr>
    </w:p>
    <w:p w:rsidR="008A12E6" w:rsidRDefault="0003671E" w:rsidP="004F1274">
      <w:r>
        <w:rPr>
          <w:b/>
        </w:rPr>
        <w:t>T</w:t>
      </w:r>
      <w:r w:rsidR="002A412B" w:rsidRPr="002A412B">
        <w:rPr>
          <w:b/>
        </w:rPr>
        <w:t>abelle 6:</w:t>
      </w:r>
      <w:r w:rsidR="002A412B">
        <w:t xml:space="preserve"> </w:t>
      </w:r>
      <w:r w:rsidR="008A12E6">
        <w:t>Im Folgende</w:t>
      </w:r>
      <w:r w:rsidR="002A412B">
        <w:t xml:space="preserve">n werden für die Parameter ILI und </w:t>
      </w:r>
      <w:r w:rsidR="008A12E6">
        <w:t xml:space="preserve">Pneumonie noch einmal die Fälle und Anteile </w:t>
      </w:r>
      <w:r w:rsidR="0080080E">
        <w:t xml:space="preserve">ausgewiesen ohne Berücksichtigung des 14-Tages-Intervalls für bestätigte Fälle, da hier zum Teil angenommen werden kann, dass für diese Fälle kaum </w:t>
      </w:r>
      <w:commentRangeStart w:id="4"/>
      <w:r w:rsidR="0080080E">
        <w:t xml:space="preserve">Zeitverzug bei der Meldung vorliegt. </w:t>
      </w:r>
      <w:commentRangeEnd w:id="4"/>
      <w:r w:rsidR="0080080E">
        <w:rPr>
          <w:rStyle w:val="Kommentarzeichen"/>
        </w:rPr>
        <w:commentReference w:id="4"/>
      </w:r>
    </w:p>
    <w:p w:rsidR="00FD158F" w:rsidRDefault="00FD158F" w:rsidP="004F1274">
      <w:r>
        <w:t>Darunter Fälle mit Altersa</w:t>
      </w:r>
      <w:r w:rsidR="001A785C">
        <w:t>n</w:t>
      </w:r>
      <w:r>
        <w:t xml:space="preserve">gabe (Gesamtzahl): </w:t>
      </w:r>
      <w:r w:rsidRPr="00FD158F">
        <w:rPr>
          <w:rFonts w:ascii="Arial" w:eastAsia="Times New Roman" w:hAnsi="Arial" w:cs="Arial"/>
          <w:sz w:val="20"/>
          <w:szCs w:val="20"/>
          <w:lang w:eastAsia="de-DE"/>
        </w:rPr>
        <w:t>61.742</w:t>
      </w:r>
    </w:p>
    <w:p w:rsidR="00FD158F" w:rsidRDefault="00FD158F" w:rsidP="00FD158F">
      <w:pPr>
        <w:spacing w:after="0" w:line="240" w:lineRule="auto"/>
      </w:pPr>
      <w:r>
        <w:tab/>
        <w:t>Altersgruppe 0 bis 4 Jahre:</w:t>
      </w:r>
      <w:r>
        <w:tab/>
      </w:r>
      <w:r>
        <w:tab/>
        <w:t>458</w:t>
      </w:r>
    </w:p>
    <w:p w:rsidR="00FD158F" w:rsidRDefault="00FD158F" w:rsidP="00FD158F">
      <w:pPr>
        <w:spacing w:after="0" w:line="240" w:lineRule="auto"/>
      </w:pPr>
      <w:r>
        <w:tab/>
        <w:t>Altersgruppe 5 bis 14 Jahre:</w:t>
      </w:r>
      <w:r>
        <w:tab/>
      </w:r>
      <w:r>
        <w:tab/>
        <w:t>1.213</w:t>
      </w:r>
    </w:p>
    <w:p w:rsidR="00FD158F" w:rsidRDefault="00FD158F" w:rsidP="00FD158F">
      <w:pPr>
        <w:spacing w:after="0" w:line="240" w:lineRule="auto"/>
      </w:pPr>
      <w:r>
        <w:tab/>
        <w:t>Altersgruppe 15 bis 34 Jahre:</w:t>
      </w:r>
      <w:r>
        <w:tab/>
      </w:r>
      <w:r>
        <w:tab/>
        <w:t>15.884</w:t>
      </w:r>
    </w:p>
    <w:p w:rsidR="00FD158F" w:rsidRDefault="00FD158F" w:rsidP="00FD158F">
      <w:pPr>
        <w:spacing w:after="0" w:line="240" w:lineRule="auto"/>
      </w:pPr>
      <w:r>
        <w:tab/>
        <w:t>Altersgruppe 35 bis 59 Jahre:</w:t>
      </w:r>
      <w:r>
        <w:tab/>
      </w:r>
      <w:r>
        <w:tab/>
        <w:t>29.639</w:t>
      </w:r>
    </w:p>
    <w:p w:rsidR="00FD158F" w:rsidRDefault="00FD158F" w:rsidP="00FD158F">
      <w:pPr>
        <w:spacing w:after="0" w:line="240" w:lineRule="auto"/>
      </w:pPr>
      <w:r>
        <w:tab/>
        <w:t>Altersgruppe 60 bis 79 Jahre:</w:t>
      </w:r>
      <w:r>
        <w:tab/>
      </w:r>
      <w:r>
        <w:tab/>
        <w:t>11.280</w:t>
      </w:r>
    </w:p>
    <w:p w:rsidR="00FD158F" w:rsidRDefault="00FD158F" w:rsidP="00FD158F">
      <w:pPr>
        <w:spacing w:line="240" w:lineRule="auto"/>
      </w:pPr>
      <w:r>
        <w:tab/>
        <w:t>Altersgruppe 80 Jahre und älter:</w:t>
      </w:r>
      <w:r>
        <w:tab/>
        <w:t>3.268</w:t>
      </w:r>
    </w:p>
    <w:p w:rsidR="00FD158F" w:rsidRDefault="00FD158F" w:rsidP="004F1274"/>
    <w:tbl>
      <w:tblPr>
        <w:tblStyle w:val="HelleSchattierung-Akzent1"/>
        <w:tblW w:w="0" w:type="auto"/>
        <w:tblLook w:val="04A0" w:firstRow="1" w:lastRow="0" w:firstColumn="1" w:lastColumn="0" w:noHBand="0" w:noVBand="1"/>
      </w:tblPr>
      <w:tblGrid>
        <w:gridCol w:w="1857"/>
        <w:gridCol w:w="1857"/>
        <w:gridCol w:w="1858"/>
        <w:gridCol w:w="1858"/>
        <w:gridCol w:w="1858"/>
      </w:tblGrid>
      <w:tr w:rsidR="0080080E" w:rsidRPr="00CD1451" w:rsidTr="00800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80080E" w:rsidRPr="00CD1451" w:rsidRDefault="0080080E" w:rsidP="0080080E">
            <w:pPr>
              <w:pStyle w:val="berschrift3"/>
              <w:jc w:val="center"/>
              <w:outlineLvl w:val="2"/>
              <w:rPr>
                <w:rFonts w:asciiTheme="minorHAnsi" w:eastAsiaTheme="minorHAnsi" w:hAnsiTheme="minorHAnsi" w:cstheme="minorBidi"/>
                <w:b/>
                <w:color w:val="auto"/>
              </w:rPr>
            </w:pPr>
            <w:r w:rsidRPr="00CD1451">
              <w:rPr>
                <w:rFonts w:asciiTheme="minorHAnsi" w:eastAsiaTheme="minorHAnsi" w:hAnsiTheme="minorHAnsi" w:cstheme="minorBidi"/>
                <w:b/>
                <w:color w:val="auto"/>
              </w:rPr>
              <w:lastRenderedPageBreak/>
              <w:t>Parameter</w:t>
            </w:r>
          </w:p>
        </w:tc>
        <w:tc>
          <w:tcPr>
            <w:tcW w:w="1857" w:type="dxa"/>
          </w:tcPr>
          <w:p w:rsidR="0080080E" w:rsidRPr="00CD1451" w:rsidRDefault="0080080E"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CD1451">
              <w:rPr>
                <w:rFonts w:asciiTheme="minorHAnsi" w:eastAsiaTheme="minorHAnsi" w:hAnsiTheme="minorHAnsi" w:cstheme="minorBidi"/>
                <w:b/>
                <w:color w:val="auto"/>
              </w:rPr>
              <w:t>Angabe ja</w:t>
            </w:r>
          </w:p>
        </w:tc>
        <w:tc>
          <w:tcPr>
            <w:tcW w:w="1858" w:type="dxa"/>
          </w:tcPr>
          <w:p w:rsidR="0080080E" w:rsidRPr="00CD1451" w:rsidRDefault="0080080E"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CD1451">
              <w:rPr>
                <w:rFonts w:asciiTheme="minorHAnsi" w:eastAsiaTheme="minorHAnsi" w:hAnsiTheme="minorHAnsi" w:cstheme="minorBidi"/>
                <w:b/>
                <w:color w:val="auto"/>
              </w:rPr>
              <w:t>Angabe nein</w:t>
            </w:r>
          </w:p>
        </w:tc>
        <w:tc>
          <w:tcPr>
            <w:tcW w:w="1858" w:type="dxa"/>
          </w:tcPr>
          <w:p w:rsidR="0080080E" w:rsidRPr="00CD1451" w:rsidRDefault="0080080E"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Pr>
                <w:rFonts w:asciiTheme="minorHAnsi" w:eastAsiaTheme="minorHAnsi" w:hAnsiTheme="minorHAnsi" w:cstheme="minorBidi"/>
                <w:b/>
                <w:color w:val="auto"/>
              </w:rPr>
              <w:t xml:space="preserve">Summe </w:t>
            </w:r>
            <w:r w:rsidRPr="00CD1451">
              <w:rPr>
                <w:rFonts w:asciiTheme="minorHAnsi" w:eastAsiaTheme="minorHAnsi" w:hAnsiTheme="minorHAnsi" w:cstheme="minorBidi"/>
                <w:b/>
                <w:color w:val="auto"/>
              </w:rPr>
              <w:t>mit Angabe</w:t>
            </w:r>
          </w:p>
        </w:tc>
        <w:tc>
          <w:tcPr>
            <w:tcW w:w="1858" w:type="dxa"/>
          </w:tcPr>
          <w:p w:rsidR="0080080E" w:rsidRPr="00CD1451" w:rsidRDefault="0080080E" w:rsidP="0080080E">
            <w:pPr>
              <w:pStyle w:val="berschrift3"/>
              <w:jc w:val="center"/>
              <w:outlineLvl w:val="2"/>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color w:val="auto"/>
              </w:rPr>
            </w:pPr>
            <w:r w:rsidRPr="008026AD">
              <w:rPr>
                <w:rFonts w:asciiTheme="minorHAnsi" w:eastAsiaTheme="minorHAnsi" w:hAnsiTheme="minorHAnsi" w:cstheme="minorBidi"/>
                <w:b/>
                <w:color w:val="auto"/>
                <w:sz w:val="20"/>
                <w:szCs w:val="20"/>
              </w:rPr>
              <w:t xml:space="preserve">Anteil Summe bis Anteil Summe </w:t>
            </w:r>
            <w:r>
              <w:rPr>
                <w:rFonts w:asciiTheme="minorHAnsi" w:eastAsiaTheme="minorHAnsi" w:hAnsiTheme="minorHAnsi" w:cstheme="minorBidi"/>
                <w:b/>
                <w:color w:val="auto"/>
                <w:sz w:val="20"/>
                <w:szCs w:val="20"/>
              </w:rPr>
              <w:t>mit Angabe</w:t>
            </w:r>
            <w:r w:rsidRPr="008026AD">
              <w:rPr>
                <w:rFonts w:asciiTheme="minorHAnsi" w:eastAsiaTheme="minorHAnsi" w:hAnsiTheme="minorHAnsi" w:cstheme="minorBidi"/>
                <w:b/>
                <w:color w:val="auto"/>
                <w:sz w:val="20"/>
                <w:szCs w:val="20"/>
              </w:rPr>
              <w:t xml:space="preserve"> (%)</w:t>
            </w:r>
          </w:p>
        </w:tc>
      </w:tr>
      <w:tr w:rsidR="0080080E" w:rsidRPr="00D637C2" w:rsidTr="0080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80080E" w:rsidRDefault="0080080E" w:rsidP="0080080E">
            <w:pPr>
              <w:pStyle w:val="Listenabsatz"/>
              <w:ind w:left="0"/>
              <w:rPr>
                <w:b w:val="0"/>
                <w:bCs w:val="0"/>
                <w:color w:val="auto"/>
                <w:sz w:val="20"/>
                <w:szCs w:val="20"/>
              </w:rPr>
            </w:pPr>
            <w:r w:rsidRPr="00CD1451">
              <w:rPr>
                <w:b w:val="0"/>
                <w:bCs w:val="0"/>
                <w:color w:val="auto"/>
                <w:sz w:val="20"/>
                <w:szCs w:val="20"/>
              </w:rPr>
              <w:t xml:space="preserve"> </w:t>
            </w:r>
            <w:r w:rsidRPr="00CD1451">
              <w:rPr>
                <w:bCs w:val="0"/>
                <w:color w:val="auto"/>
                <w:sz w:val="20"/>
                <w:szCs w:val="20"/>
              </w:rPr>
              <w:t>ILI-</w:t>
            </w:r>
            <w:r>
              <w:rPr>
                <w:bCs w:val="0"/>
                <w:color w:val="auto"/>
                <w:sz w:val="20"/>
                <w:szCs w:val="20"/>
              </w:rPr>
              <w:t>Falld</w:t>
            </w:r>
            <w:r w:rsidRPr="00CD1451">
              <w:rPr>
                <w:bCs w:val="0"/>
                <w:color w:val="auto"/>
                <w:sz w:val="20"/>
                <w:szCs w:val="20"/>
              </w:rPr>
              <w:t>efinition</w:t>
            </w:r>
          </w:p>
          <w:p w:rsidR="0080080E" w:rsidRPr="00CD1451" w:rsidRDefault="0080080E" w:rsidP="0080080E">
            <w:pPr>
              <w:pStyle w:val="Listenabsatz"/>
              <w:ind w:left="0"/>
              <w:rPr>
                <w:b w:val="0"/>
                <w:bCs w:val="0"/>
                <w:color w:val="auto"/>
                <w:sz w:val="20"/>
                <w:szCs w:val="20"/>
              </w:rPr>
            </w:pPr>
            <w:r>
              <w:rPr>
                <w:b w:val="0"/>
                <w:bCs w:val="0"/>
                <w:color w:val="auto"/>
                <w:sz w:val="20"/>
                <w:szCs w:val="20"/>
              </w:rPr>
              <w:t>(</w:t>
            </w:r>
            <w:r w:rsidRPr="00CD1451">
              <w:rPr>
                <w:b w:val="0"/>
                <w:bCs w:val="0"/>
                <w:color w:val="auto"/>
                <w:sz w:val="20"/>
                <w:szCs w:val="20"/>
              </w:rPr>
              <w:t>Fieber und Husten</w:t>
            </w:r>
            <w:r>
              <w:rPr>
                <w:b w:val="0"/>
                <w:bCs w:val="0"/>
                <w:color w:val="auto"/>
                <w:sz w:val="20"/>
                <w:szCs w:val="20"/>
              </w:rPr>
              <w:t>)</w:t>
            </w:r>
          </w:p>
        </w:tc>
        <w:tc>
          <w:tcPr>
            <w:tcW w:w="1857" w:type="dxa"/>
          </w:tcPr>
          <w:p w:rsidR="0080080E" w:rsidRPr="00D637C2"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1858" w:type="dxa"/>
          </w:tcPr>
          <w:p w:rsidR="0080080E" w:rsidRPr="00D637C2"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1858" w:type="dxa"/>
          </w:tcPr>
          <w:p w:rsidR="0080080E" w:rsidRPr="00D637C2"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1858" w:type="dxa"/>
          </w:tcPr>
          <w:p w:rsidR="0080080E" w:rsidRPr="00D637C2"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2A412B" w:rsidRPr="005E2706" w:rsidTr="00BE13FC">
        <w:tc>
          <w:tcPr>
            <w:cnfStyle w:val="001000000000" w:firstRow="0" w:lastRow="0" w:firstColumn="1" w:lastColumn="0" w:oddVBand="0" w:evenVBand="0" w:oddHBand="0" w:evenHBand="0" w:firstRowFirstColumn="0" w:firstRowLastColumn="0" w:lastRowFirstColumn="0" w:lastRowLastColumn="0"/>
            <w:tcW w:w="1857" w:type="dxa"/>
          </w:tcPr>
          <w:p w:rsidR="002A412B" w:rsidRPr="00CD1451" w:rsidRDefault="002A412B" w:rsidP="0080080E">
            <w:pPr>
              <w:pStyle w:val="Listenabsatz"/>
              <w:ind w:left="0"/>
              <w:jc w:val="center"/>
              <w:rPr>
                <w:b w:val="0"/>
                <w:bCs w:val="0"/>
                <w:color w:val="auto"/>
                <w:sz w:val="20"/>
                <w:szCs w:val="20"/>
              </w:rPr>
            </w:pPr>
            <w:r>
              <w:rPr>
                <w:b w:val="0"/>
                <w:bCs w:val="0"/>
                <w:color w:val="auto"/>
                <w:sz w:val="20"/>
                <w:szCs w:val="20"/>
              </w:rPr>
              <w:t>gesamt</w:t>
            </w:r>
          </w:p>
        </w:tc>
        <w:tc>
          <w:tcPr>
            <w:tcW w:w="1857"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12.000</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31.936</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43.936</w:t>
            </w:r>
          </w:p>
        </w:tc>
        <w:tc>
          <w:tcPr>
            <w:tcW w:w="1858" w:type="dxa"/>
          </w:tcPr>
          <w:p w:rsidR="002A412B" w:rsidRPr="00682B64" w:rsidRDefault="002A412B" w:rsidP="002A412B">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19-27 %</w:t>
            </w:r>
          </w:p>
        </w:tc>
      </w:tr>
      <w:tr w:rsidR="002A412B" w:rsidRPr="005E2706" w:rsidTr="0080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857"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72</w:t>
            </w:r>
          </w:p>
        </w:tc>
        <w:tc>
          <w:tcPr>
            <w:tcW w:w="1858"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267</w:t>
            </w:r>
          </w:p>
        </w:tc>
        <w:tc>
          <w:tcPr>
            <w:tcW w:w="1858"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339</w:t>
            </w:r>
          </w:p>
        </w:tc>
        <w:tc>
          <w:tcPr>
            <w:tcW w:w="1858" w:type="dxa"/>
          </w:tcPr>
          <w:p w:rsidR="002A412B" w:rsidRPr="00682B64" w:rsidRDefault="002A412B"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16-21 %</w:t>
            </w:r>
          </w:p>
        </w:tc>
      </w:tr>
      <w:tr w:rsidR="002A412B" w:rsidRPr="005E2706" w:rsidTr="0080080E">
        <w:tc>
          <w:tcPr>
            <w:cnfStyle w:val="001000000000" w:firstRow="0" w:lastRow="0" w:firstColumn="1" w:lastColumn="0" w:oddVBand="0" w:evenVBand="0" w:oddHBand="0" w:evenHBand="0" w:firstRowFirstColumn="0" w:firstRowLastColumn="0" w:lastRowFirstColumn="0" w:lastRowLastColumn="0"/>
            <w:tcW w:w="1857" w:type="dxa"/>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857"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149</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741</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890</w:t>
            </w:r>
          </w:p>
        </w:tc>
        <w:tc>
          <w:tcPr>
            <w:tcW w:w="1858" w:type="dxa"/>
          </w:tcPr>
          <w:p w:rsidR="002A412B" w:rsidRPr="00682B64" w:rsidRDefault="002A412B"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12-17 %</w:t>
            </w:r>
          </w:p>
        </w:tc>
      </w:tr>
      <w:tr w:rsidR="002A412B" w:rsidRPr="005E2706" w:rsidTr="0080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857"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2669</w:t>
            </w:r>
          </w:p>
        </w:tc>
        <w:tc>
          <w:tcPr>
            <w:tcW w:w="1858"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8.628</w:t>
            </w:r>
          </w:p>
        </w:tc>
        <w:tc>
          <w:tcPr>
            <w:tcW w:w="1858" w:type="dxa"/>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11.297</w:t>
            </w:r>
          </w:p>
        </w:tc>
        <w:tc>
          <w:tcPr>
            <w:tcW w:w="1858" w:type="dxa"/>
          </w:tcPr>
          <w:p w:rsidR="002A412B" w:rsidRPr="00682B64" w:rsidRDefault="002A412B"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17-27 %</w:t>
            </w:r>
          </w:p>
        </w:tc>
      </w:tr>
      <w:tr w:rsidR="002A412B" w:rsidRPr="005E2706" w:rsidTr="0080080E">
        <w:tc>
          <w:tcPr>
            <w:cnfStyle w:val="001000000000" w:firstRow="0" w:lastRow="0" w:firstColumn="1" w:lastColumn="0" w:oddVBand="0" w:evenVBand="0" w:oddHBand="0" w:evenHBand="0" w:firstRowFirstColumn="0" w:firstRowLastColumn="0" w:lastRowFirstColumn="0" w:lastRowLastColumn="0"/>
            <w:tcW w:w="1857" w:type="dxa"/>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857"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6.337</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14.562</w:t>
            </w:r>
          </w:p>
        </w:tc>
        <w:tc>
          <w:tcPr>
            <w:tcW w:w="1858" w:type="dxa"/>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20.899</w:t>
            </w:r>
          </w:p>
        </w:tc>
        <w:tc>
          <w:tcPr>
            <w:tcW w:w="1858" w:type="dxa"/>
          </w:tcPr>
          <w:p w:rsidR="002A412B" w:rsidRPr="00682B64" w:rsidRDefault="002A412B"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21-30 %</w:t>
            </w:r>
          </w:p>
        </w:tc>
      </w:tr>
      <w:tr w:rsidR="002A412B" w:rsidRPr="005E2706" w:rsidTr="0080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bottom w:val="nil"/>
            </w:tcBorders>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857" w:type="dxa"/>
            <w:tcBorders>
              <w:bottom w:val="nil"/>
            </w:tcBorders>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2279</w:t>
            </w:r>
          </w:p>
        </w:tc>
        <w:tc>
          <w:tcPr>
            <w:tcW w:w="1858" w:type="dxa"/>
            <w:tcBorders>
              <w:bottom w:val="nil"/>
            </w:tcBorders>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5770</w:t>
            </w:r>
          </w:p>
        </w:tc>
        <w:tc>
          <w:tcPr>
            <w:tcW w:w="1858" w:type="dxa"/>
            <w:tcBorders>
              <w:bottom w:val="nil"/>
            </w:tcBorders>
            <w:vAlign w:val="bottom"/>
          </w:tcPr>
          <w:p w:rsidR="002A412B" w:rsidRDefault="002A41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8.049</w:t>
            </w:r>
          </w:p>
        </w:tc>
        <w:tc>
          <w:tcPr>
            <w:tcW w:w="1858" w:type="dxa"/>
            <w:tcBorders>
              <w:bottom w:val="nil"/>
            </w:tcBorders>
          </w:tcPr>
          <w:p w:rsidR="002A412B" w:rsidRPr="00682B64" w:rsidRDefault="00682B64"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20-28</w:t>
            </w:r>
            <w:r w:rsidR="002A412B" w:rsidRPr="00682B64">
              <w:rPr>
                <w:rFonts w:cstheme="minorHAnsi"/>
                <w:color w:val="auto"/>
                <w:sz w:val="20"/>
                <w:szCs w:val="20"/>
              </w:rPr>
              <w:t xml:space="preserve"> %</w:t>
            </w:r>
          </w:p>
        </w:tc>
      </w:tr>
      <w:tr w:rsidR="002A412B" w:rsidRPr="005E2706" w:rsidTr="0080080E">
        <w:tc>
          <w:tcPr>
            <w:cnfStyle w:val="001000000000" w:firstRow="0" w:lastRow="0" w:firstColumn="1" w:lastColumn="0" w:oddVBand="0" w:evenVBand="0" w:oddHBand="0" w:evenHBand="0" w:firstRowFirstColumn="0" w:firstRowLastColumn="0" w:lastRowFirstColumn="0" w:lastRowLastColumn="0"/>
            <w:tcW w:w="1857" w:type="dxa"/>
            <w:tcBorders>
              <w:top w:val="nil"/>
              <w:bottom w:val="single" w:sz="4" w:space="0" w:color="auto"/>
            </w:tcBorders>
          </w:tcPr>
          <w:p w:rsidR="002A412B" w:rsidRPr="00CD1451" w:rsidRDefault="002A412B"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857" w:type="dxa"/>
            <w:tcBorders>
              <w:top w:val="nil"/>
              <w:bottom w:val="single" w:sz="4" w:space="0" w:color="auto"/>
            </w:tcBorders>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494</w:t>
            </w:r>
          </w:p>
        </w:tc>
        <w:tc>
          <w:tcPr>
            <w:tcW w:w="1858" w:type="dxa"/>
            <w:tcBorders>
              <w:top w:val="nil"/>
              <w:bottom w:val="single" w:sz="4" w:space="0" w:color="auto"/>
            </w:tcBorders>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1968</w:t>
            </w:r>
          </w:p>
        </w:tc>
        <w:tc>
          <w:tcPr>
            <w:tcW w:w="1858" w:type="dxa"/>
            <w:tcBorders>
              <w:top w:val="nil"/>
              <w:bottom w:val="single" w:sz="4" w:space="0" w:color="auto"/>
            </w:tcBorders>
            <w:vAlign w:val="bottom"/>
          </w:tcPr>
          <w:p w:rsidR="002A412B" w:rsidRDefault="002A41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2.462</w:t>
            </w:r>
          </w:p>
        </w:tc>
        <w:tc>
          <w:tcPr>
            <w:tcW w:w="1858" w:type="dxa"/>
            <w:tcBorders>
              <w:top w:val="nil"/>
              <w:bottom w:val="single" w:sz="4" w:space="0" w:color="auto"/>
            </w:tcBorders>
          </w:tcPr>
          <w:p w:rsidR="002A412B" w:rsidRPr="00682B64" w:rsidRDefault="00682B64" w:rsidP="0080080E">
            <w:pPr>
              <w:pStyle w:val="Listenabsatz"/>
              <w:ind w:left="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15-20</w:t>
            </w:r>
            <w:r w:rsidR="002A412B" w:rsidRPr="00682B64">
              <w:rPr>
                <w:rFonts w:cstheme="minorHAnsi"/>
                <w:color w:val="auto"/>
                <w:sz w:val="20"/>
                <w:szCs w:val="20"/>
              </w:rPr>
              <w:t xml:space="preserve"> %</w:t>
            </w:r>
          </w:p>
        </w:tc>
      </w:tr>
      <w:tr w:rsidR="0080080E" w:rsidRPr="008B6170" w:rsidTr="0080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80080E" w:rsidRPr="00CD1451" w:rsidRDefault="0080080E" w:rsidP="0080080E">
            <w:pPr>
              <w:pStyle w:val="Listenabsatz"/>
              <w:ind w:left="0"/>
              <w:rPr>
                <w:sz w:val="20"/>
                <w:szCs w:val="20"/>
              </w:rPr>
            </w:pPr>
            <w:r w:rsidRPr="008B6170">
              <w:rPr>
                <w:color w:val="auto"/>
                <w:sz w:val="20"/>
                <w:szCs w:val="20"/>
              </w:rPr>
              <w:t>Pneumonie</w:t>
            </w:r>
          </w:p>
        </w:tc>
        <w:tc>
          <w:tcPr>
            <w:tcW w:w="1857" w:type="dxa"/>
            <w:tcBorders>
              <w:top w:val="nil"/>
              <w:bottom w:val="nil"/>
            </w:tcBorders>
          </w:tcPr>
          <w:p w:rsidR="0080080E" w:rsidRPr="0080080E"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58" w:type="dxa"/>
            <w:tcBorders>
              <w:top w:val="nil"/>
              <w:bottom w:val="nil"/>
            </w:tcBorders>
          </w:tcPr>
          <w:p w:rsidR="0080080E" w:rsidRPr="0080080E"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58" w:type="dxa"/>
            <w:tcBorders>
              <w:top w:val="nil"/>
              <w:bottom w:val="nil"/>
            </w:tcBorders>
          </w:tcPr>
          <w:p w:rsidR="0080080E" w:rsidRPr="0080080E"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58" w:type="dxa"/>
            <w:tcBorders>
              <w:top w:val="nil"/>
              <w:bottom w:val="nil"/>
            </w:tcBorders>
          </w:tcPr>
          <w:p w:rsidR="0080080E" w:rsidRPr="0080080E" w:rsidRDefault="0080080E" w:rsidP="0080080E">
            <w:pPr>
              <w:pStyle w:val="Listenabsatz"/>
              <w:ind w:left="0"/>
              <w:jc w:val="right"/>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682B64" w:rsidRPr="00832AA0" w:rsidTr="00BE13FC">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jc w:val="center"/>
              <w:rPr>
                <w:b w:val="0"/>
                <w:bCs w:val="0"/>
                <w:color w:val="auto"/>
                <w:sz w:val="20"/>
                <w:szCs w:val="20"/>
              </w:rPr>
            </w:pPr>
            <w:r>
              <w:rPr>
                <w:b w:val="0"/>
                <w:bCs w:val="0"/>
                <w:color w:val="auto"/>
                <w:sz w:val="20"/>
                <w:szCs w:val="20"/>
              </w:rPr>
              <w:t>gesamt</w:t>
            </w:r>
          </w:p>
        </w:tc>
        <w:tc>
          <w:tcPr>
            <w:tcW w:w="1857"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867</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60.875</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61.742</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1,40%</w:t>
            </w:r>
          </w:p>
        </w:tc>
      </w:tr>
      <w:tr w:rsidR="00682B64" w:rsidRPr="00832AA0" w:rsidTr="00BE1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0 bis 4 Jahre</w:t>
            </w:r>
          </w:p>
        </w:tc>
        <w:tc>
          <w:tcPr>
            <w:tcW w:w="1857"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3</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455</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458</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0,66%</w:t>
            </w:r>
          </w:p>
        </w:tc>
      </w:tr>
      <w:tr w:rsidR="00682B64" w:rsidRPr="00832AA0" w:rsidTr="00BE13FC">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5 bis 14 Jahre</w:t>
            </w:r>
          </w:p>
        </w:tc>
        <w:tc>
          <w:tcPr>
            <w:tcW w:w="1857"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3</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1.210</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1.213</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0,25%</w:t>
            </w:r>
          </w:p>
        </w:tc>
      </w:tr>
      <w:tr w:rsidR="00682B64" w:rsidRPr="00832AA0" w:rsidTr="00BE1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15 bis 3</w:t>
            </w:r>
            <w:r>
              <w:rPr>
                <w:b w:val="0"/>
                <w:bCs w:val="0"/>
                <w:color w:val="auto"/>
                <w:sz w:val="20"/>
                <w:szCs w:val="20"/>
              </w:rPr>
              <w:t>4</w:t>
            </w:r>
            <w:r w:rsidRPr="00CD1451">
              <w:rPr>
                <w:b w:val="0"/>
                <w:bCs w:val="0"/>
                <w:color w:val="auto"/>
                <w:sz w:val="20"/>
                <w:szCs w:val="20"/>
              </w:rPr>
              <w:t xml:space="preserve"> Jahre</w:t>
            </w:r>
          </w:p>
        </w:tc>
        <w:tc>
          <w:tcPr>
            <w:tcW w:w="1857"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40</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15.844</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15.884</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0,25%</w:t>
            </w:r>
          </w:p>
        </w:tc>
      </w:tr>
      <w:tr w:rsidR="00682B64" w:rsidRPr="00832AA0" w:rsidTr="00BE13FC">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35 bis 59 Jahre</w:t>
            </w:r>
          </w:p>
        </w:tc>
        <w:tc>
          <w:tcPr>
            <w:tcW w:w="1857"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256</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29.383</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29.639</w:t>
            </w:r>
          </w:p>
        </w:tc>
        <w:tc>
          <w:tcPr>
            <w:tcW w:w="1858" w:type="dxa"/>
            <w:tcBorders>
              <w:top w:val="nil"/>
              <w:bottom w:val="nil"/>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0,86%</w:t>
            </w:r>
          </w:p>
        </w:tc>
      </w:tr>
      <w:tr w:rsidR="00682B64" w:rsidRPr="00832AA0" w:rsidTr="00BE1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top w:val="nil"/>
              <w:bottom w:val="nil"/>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60 bis 79 Jahre</w:t>
            </w:r>
          </w:p>
        </w:tc>
        <w:tc>
          <w:tcPr>
            <w:tcW w:w="1857"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354</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10.926</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11.280</w:t>
            </w:r>
          </w:p>
        </w:tc>
        <w:tc>
          <w:tcPr>
            <w:tcW w:w="1858" w:type="dxa"/>
            <w:tcBorders>
              <w:top w:val="nil"/>
              <w:bottom w:val="nil"/>
            </w:tcBorders>
            <w:vAlign w:val="bottom"/>
          </w:tcPr>
          <w:p w:rsidR="00682B64" w:rsidRPr="00682B64" w:rsidRDefault="00682B64">
            <w:pPr>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2B64">
              <w:rPr>
                <w:rFonts w:cstheme="minorHAnsi"/>
                <w:color w:val="auto"/>
                <w:sz w:val="20"/>
                <w:szCs w:val="20"/>
              </w:rPr>
              <w:t>3,14%</w:t>
            </w:r>
          </w:p>
        </w:tc>
      </w:tr>
      <w:tr w:rsidR="00682B64" w:rsidRPr="00832AA0" w:rsidTr="00BE13FC">
        <w:tc>
          <w:tcPr>
            <w:cnfStyle w:val="001000000000" w:firstRow="0" w:lastRow="0" w:firstColumn="1" w:lastColumn="0" w:oddVBand="0" w:evenVBand="0" w:oddHBand="0" w:evenHBand="0" w:firstRowFirstColumn="0" w:firstRowLastColumn="0" w:lastRowFirstColumn="0" w:lastRowLastColumn="0"/>
            <w:tcW w:w="1857" w:type="dxa"/>
            <w:tcBorders>
              <w:top w:val="nil"/>
              <w:bottom w:val="single" w:sz="4" w:space="0" w:color="auto"/>
            </w:tcBorders>
          </w:tcPr>
          <w:p w:rsidR="00682B64" w:rsidRPr="00CD1451" w:rsidRDefault="00682B64" w:rsidP="0080080E">
            <w:pPr>
              <w:pStyle w:val="Listenabsatz"/>
              <w:ind w:left="0"/>
              <w:rPr>
                <w:b w:val="0"/>
                <w:bCs w:val="0"/>
                <w:color w:val="auto"/>
                <w:sz w:val="20"/>
                <w:szCs w:val="20"/>
              </w:rPr>
            </w:pPr>
            <w:r w:rsidRPr="00CD1451">
              <w:rPr>
                <w:b w:val="0"/>
                <w:bCs w:val="0"/>
                <w:color w:val="auto"/>
                <w:sz w:val="20"/>
                <w:szCs w:val="20"/>
              </w:rPr>
              <w:t xml:space="preserve">  80 und älter</w:t>
            </w:r>
          </w:p>
        </w:tc>
        <w:tc>
          <w:tcPr>
            <w:tcW w:w="1857" w:type="dxa"/>
            <w:tcBorders>
              <w:top w:val="nil"/>
              <w:bottom w:val="single" w:sz="4" w:space="0" w:color="auto"/>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211</w:t>
            </w:r>
          </w:p>
        </w:tc>
        <w:tc>
          <w:tcPr>
            <w:tcW w:w="1858" w:type="dxa"/>
            <w:tcBorders>
              <w:top w:val="nil"/>
              <w:bottom w:val="single" w:sz="4" w:space="0" w:color="auto"/>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3.057</w:t>
            </w:r>
          </w:p>
        </w:tc>
        <w:tc>
          <w:tcPr>
            <w:tcW w:w="1858" w:type="dxa"/>
            <w:tcBorders>
              <w:top w:val="nil"/>
              <w:bottom w:val="single" w:sz="4" w:space="0" w:color="auto"/>
            </w:tcBorders>
            <w:vAlign w:val="bottom"/>
          </w:tcPr>
          <w:p w:rsidR="00682B64" w:rsidRPr="00682B64" w:rsidRDefault="00682B64">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82B64">
              <w:rPr>
                <w:rFonts w:cstheme="minorHAnsi"/>
                <w:color w:val="000000"/>
                <w:sz w:val="20"/>
                <w:szCs w:val="20"/>
              </w:rPr>
              <w:t>3.268</w:t>
            </w:r>
          </w:p>
        </w:tc>
        <w:tc>
          <w:tcPr>
            <w:tcW w:w="1858" w:type="dxa"/>
            <w:tcBorders>
              <w:top w:val="nil"/>
              <w:bottom w:val="single" w:sz="4" w:space="0" w:color="auto"/>
            </w:tcBorders>
            <w:vAlign w:val="bottom"/>
          </w:tcPr>
          <w:p w:rsidR="00682B64" w:rsidRPr="00682B64" w:rsidRDefault="00682B64" w:rsidP="0080080E">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82B64">
              <w:rPr>
                <w:rFonts w:cstheme="minorHAnsi"/>
                <w:color w:val="auto"/>
                <w:sz w:val="20"/>
                <w:szCs w:val="20"/>
              </w:rPr>
              <w:t>6,46</w:t>
            </w:r>
            <w:commentRangeStart w:id="5"/>
            <w:r w:rsidRPr="00682B64">
              <w:rPr>
                <w:rFonts w:cstheme="minorHAnsi"/>
                <w:color w:val="auto"/>
                <w:sz w:val="20"/>
                <w:szCs w:val="20"/>
              </w:rPr>
              <w:t>%</w:t>
            </w:r>
            <w:commentRangeEnd w:id="5"/>
            <w:r w:rsidRPr="00682B64">
              <w:rPr>
                <w:rStyle w:val="Kommentarzeichen"/>
                <w:rFonts w:cstheme="minorHAnsi"/>
                <w:color w:val="auto"/>
              </w:rPr>
              <w:commentReference w:id="5"/>
            </w:r>
          </w:p>
        </w:tc>
      </w:tr>
    </w:tbl>
    <w:p w:rsidR="008A12E6" w:rsidRDefault="008A12E6" w:rsidP="004F1274"/>
    <w:p w:rsidR="0080080E" w:rsidRDefault="0080080E" w:rsidP="000062E3">
      <w:pPr>
        <w:rPr>
          <w:b/>
        </w:rPr>
      </w:pPr>
      <w:r>
        <w:rPr>
          <w:b/>
        </w:rPr>
        <w:br w:type="page"/>
      </w:r>
    </w:p>
    <w:p w:rsidR="00984C5B" w:rsidRPr="00054828" w:rsidRDefault="00984C5B" w:rsidP="000062E3">
      <w:pPr>
        <w:rPr>
          <w:b/>
        </w:rPr>
      </w:pPr>
      <w:r w:rsidRPr="00054828">
        <w:rPr>
          <w:b/>
        </w:rPr>
        <w:lastRenderedPageBreak/>
        <w:t>Referenzen:</w:t>
      </w:r>
    </w:p>
    <w:p w:rsidR="006A2D85" w:rsidRPr="006A2D85" w:rsidRDefault="006A2D85" w:rsidP="006A2D85">
      <w:pPr>
        <w:pStyle w:val="Listenabsatz"/>
        <w:numPr>
          <w:ilvl w:val="0"/>
          <w:numId w:val="6"/>
        </w:numPr>
        <w:rPr>
          <w:lang w:val="en-US"/>
        </w:rPr>
      </w:pPr>
      <w:r w:rsidRPr="006A2D85">
        <w:rPr>
          <w:lang w:val="en-US"/>
        </w:rPr>
        <w:t xml:space="preserve">COVID-19-Dashboard. </w:t>
      </w:r>
      <w:r w:rsidR="009867F4">
        <w:fldChar w:fldCharType="begin"/>
      </w:r>
      <w:r w:rsidR="009867F4" w:rsidRPr="009867F4">
        <w:rPr>
          <w:lang w:val="en-US"/>
          <w:rPrChange w:id="6" w:author="Michaela Diercke" w:date="2020-03-29T08:47:00Z">
            <w:rPr/>
          </w:rPrChange>
        </w:rPr>
        <w:instrText xml:space="preserve"> HYPERLINK "https://experience.arcgis.com/experience/478220a4c454480e823b17327b2bf1d4" </w:instrText>
      </w:r>
      <w:r w:rsidR="009867F4">
        <w:fldChar w:fldCharType="separate"/>
      </w:r>
      <w:r w:rsidRPr="00493BA3">
        <w:rPr>
          <w:rStyle w:val="Hyperlink"/>
          <w:lang w:val="en-US"/>
        </w:rPr>
        <w:t>https://experience.arcgis.com/experience/478220a4c454480e823b17327b2bf1d4</w:t>
      </w:r>
      <w:r w:rsidR="009867F4">
        <w:rPr>
          <w:rStyle w:val="Hyperlink"/>
          <w:lang w:val="en-US"/>
        </w:rPr>
        <w:fldChar w:fldCharType="end"/>
      </w:r>
      <w:r>
        <w:rPr>
          <w:lang w:val="en-US"/>
        </w:rPr>
        <w:t xml:space="preserve"> </w:t>
      </w:r>
    </w:p>
    <w:p w:rsidR="00453D7C" w:rsidRDefault="00453D7C" w:rsidP="00453D7C">
      <w:pPr>
        <w:pStyle w:val="Listenabsatz"/>
        <w:numPr>
          <w:ilvl w:val="0"/>
          <w:numId w:val="6"/>
        </w:numPr>
      </w:pPr>
      <w:r w:rsidRPr="00453D7C">
        <w:t xml:space="preserve">SARS-CoV-2 </w:t>
      </w:r>
      <w:proofErr w:type="gramStart"/>
      <w:r w:rsidRPr="00453D7C">
        <w:t>Steckbrief</w:t>
      </w:r>
      <w:proofErr w:type="gramEnd"/>
      <w:r w:rsidRPr="00453D7C">
        <w:t xml:space="preserve"> zur Coronavirus-Krankheit-2019 (COVID-19)</w:t>
      </w:r>
      <w:r>
        <w:t xml:space="preserve">. Abrufbar unter: </w:t>
      </w:r>
      <w:hyperlink r:id="rId8" w:history="1">
        <w:r w:rsidRPr="00493BA3">
          <w:rPr>
            <w:rStyle w:val="Hyperlink"/>
          </w:rPr>
          <w:t>https://www.rki.de/DE/Content/InfAZ/N/Neuartiges_Coronavirus/Steckbrief.html</w:t>
        </w:r>
      </w:hyperlink>
      <w:r>
        <w:t xml:space="preserve"> </w:t>
      </w:r>
    </w:p>
    <w:p w:rsidR="00CD1451" w:rsidRDefault="00CD1451" w:rsidP="00CD1451">
      <w:pPr>
        <w:pStyle w:val="Listenabsatz"/>
        <w:numPr>
          <w:ilvl w:val="0"/>
          <w:numId w:val="6"/>
        </w:numPr>
      </w:pPr>
      <w:r>
        <w:t xml:space="preserve">Tolksdorf et al. (2020). </w:t>
      </w:r>
      <w:r w:rsidRPr="00DD34A6">
        <w:t xml:space="preserve">Schwereeinschätzung von COVID-19 mit Vergleichsdaten zu Pneumonien aus dem </w:t>
      </w:r>
      <w:proofErr w:type="spellStart"/>
      <w:r w:rsidRPr="00DD34A6">
        <w:t>Krankenhaussentinel</w:t>
      </w:r>
      <w:proofErr w:type="spellEnd"/>
      <w:r w:rsidRPr="00DD34A6">
        <w:t xml:space="preserve"> für schwere akute Atemwegserkrankungen am RKI (ICOSARI)</w:t>
      </w:r>
      <w:r>
        <w:t xml:space="preserve">. Vorab-Online-Veröffentlichung </w:t>
      </w:r>
      <w:proofErr w:type="spellStart"/>
      <w:r>
        <w:t>EpidBull</w:t>
      </w:r>
      <w:proofErr w:type="spellEnd"/>
      <w:r>
        <w:t xml:space="preserve"> 14/2020. Abrufbar unter: </w:t>
      </w:r>
      <w:hyperlink r:id="rId9" w:history="1">
        <w:r w:rsidRPr="00493BA3">
          <w:rPr>
            <w:rStyle w:val="Hyperlink"/>
          </w:rPr>
          <w:t>https://www.rki.de/DE/Content/Infekt/EpidBull/Archiv/2020/14/Tabelle.html</w:t>
        </w:r>
      </w:hyperlink>
      <w:r>
        <w:t xml:space="preserve"> </w:t>
      </w:r>
    </w:p>
    <w:p w:rsidR="00835346" w:rsidRPr="00D774C9" w:rsidRDefault="00835346" w:rsidP="00835346">
      <w:pPr>
        <w:pStyle w:val="Listenabsatz"/>
        <w:numPr>
          <w:ilvl w:val="0"/>
          <w:numId w:val="6"/>
        </w:numPr>
        <w:rPr>
          <w:rStyle w:val="Hyperlink"/>
          <w:color w:val="auto"/>
          <w:u w:val="none"/>
        </w:rPr>
      </w:pPr>
      <w:r w:rsidRPr="00835346">
        <w:rPr>
          <w:bCs/>
        </w:rPr>
        <w:t xml:space="preserve">Empfehlungen des Robert Koch-Instituts zur Meldung von Verdachtsfällen von COVID-19 </w:t>
      </w:r>
      <w:hyperlink r:id="rId10" w:history="1">
        <w:r w:rsidRPr="00835346">
          <w:rPr>
            <w:rStyle w:val="Hyperlink"/>
          </w:rPr>
          <w:t>https://www.rki.de/DE/Content/InfAZ/N/Neuartiges_Coronavirus/Empfehlung_Meldung.html</w:t>
        </w:r>
      </w:hyperlink>
      <w:r w:rsidRPr="00835346">
        <w:rPr>
          <w:rStyle w:val="Hyperlink"/>
        </w:rPr>
        <w:t xml:space="preserve"> </w:t>
      </w:r>
    </w:p>
    <w:p w:rsidR="00D774C9" w:rsidRDefault="00D774C9" w:rsidP="00D774C9">
      <w:pPr>
        <w:pStyle w:val="Listenabsatz"/>
        <w:numPr>
          <w:ilvl w:val="0"/>
          <w:numId w:val="6"/>
        </w:numPr>
      </w:pPr>
      <w:r w:rsidRPr="00D774C9">
        <w:t xml:space="preserve">Beschreibung des bisherigen Ausbruchsgeschehens mit dem neuartigen </w:t>
      </w:r>
      <w:proofErr w:type="spellStart"/>
      <w:r w:rsidRPr="00D774C9">
        <w:t>Coronavirus</w:t>
      </w:r>
      <w:proofErr w:type="spellEnd"/>
      <w:r w:rsidRPr="00D774C9">
        <w:t xml:space="preserve"> SARS-CoV-2 in Deutschland (Stand: 12. Februar 2020)</w:t>
      </w:r>
      <w:r>
        <w:t xml:space="preserve">. Abrufbar unter: </w:t>
      </w:r>
      <w:hyperlink r:id="rId11" w:history="1">
        <w:r w:rsidRPr="00493BA3">
          <w:rPr>
            <w:rStyle w:val="Hyperlink"/>
          </w:rPr>
          <w:t>https://www.rki.de/DE/Content/Infekt/EpidBull/Archiv/2020/07/Art_02.html</w:t>
        </w:r>
      </w:hyperlink>
      <w:r>
        <w:t xml:space="preserve"> </w:t>
      </w:r>
    </w:p>
    <w:sectPr w:rsidR="00D774C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hilling, Julia" w:date="2020-04-01T09:43:00Z" w:initials="SJ">
    <w:p w:rsidR="00BE13FC" w:rsidRDefault="00BE13FC">
      <w:pPr>
        <w:pStyle w:val="Kommentartext"/>
      </w:pPr>
      <w:r>
        <w:rPr>
          <w:rStyle w:val="Kommentarzeichen"/>
        </w:rPr>
        <w:annotationRef/>
      </w:r>
      <w:r>
        <w:t>Bitte beachten: Symptome (</w:t>
      </w:r>
      <w:r w:rsidRPr="00BF4290">
        <w:rPr>
          <w:color w:val="FF0000"/>
        </w:rPr>
        <w:t>wie bspw. Pneumonie</w:t>
      </w:r>
      <w:r w:rsidR="0003671E" w:rsidRPr="00BF4290">
        <w:rPr>
          <w:color w:val="FF0000"/>
        </w:rPr>
        <w:t>, Husten, Fieber</w:t>
      </w:r>
      <w:r>
        <w:t xml:space="preserve">) werden in der Datenmaske mit einem „Häkchen“ bestätigt. D.h. es gibt hier nur „ja“ und „nein“ als Antwortmöglichkeit und die Angabe einer Spanne wie bei den anderen Punkten macht hier keinen Sinn. </w:t>
      </w:r>
    </w:p>
    <w:p w:rsidR="00F072E6" w:rsidRDefault="00F072E6">
      <w:pPr>
        <w:pStyle w:val="Kommentartext"/>
      </w:pPr>
    </w:p>
    <w:p w:rsidR="00F072E6" w:rsidRPr="00BF4290" w:rsidRDefault="00F072E6">
      <w:pPr>
        <w:pStyle w:val="Kommentartext"/>
        <w:rPr>
          <w:color w:val="FF0000"/>
        </w:rPr>
      </w:pPr>
      <w:r w:rsidRPr="00BF4290">
        <w:rPr>
          <w:color w:val="FF0000"/>
        </w:rPr>
        <w:t xml:space="preserve">Der Anteil vollständiger Angaben ergibt hierdaher  immer 100%. </w:t>
      </w:r>
    </w:p>
  </w:comment>
  <w:comment w:id="1" w:author="Michaela Diercke" w:date="2020-03-29T08:43:00Z" w:initials="MD">
    <w:p w:rsidR="00962540" w:rsidRDefault="00962540">
      <w:pPr>
        <w:pStyle w:val="Kommentartext"/>
      </w:pPr>
      <w:r>
        <w:rPr>
          <w:rStyle w:val="Kommentarzeichen"/>
        </w:rPr>
        <w:annotationRef/>
      </w:r>
      <w:r>
        <w:t xml:space="preserve">Nicht erhoben und nicht ermittelbar sind qualitativ unterschiedlich, ggf. hier noch getrennt ausweisen. Die zusätzlichen Eigenschaften werden teilweise </w:t>
      </w:r>
      <w:proofErr w:type="spellStart"/>
      <w:r>
        <w:t>automaitsch</w:t>
      </w:r>
      <w:proofErr w:type="spellEnd"/>
      <w:r>
        <w:t xml:space="preserve"> angehängt, dann steht da immer nicht erhoben, nicht ermittelbar muss aktiv ausgewählt werden</w:t>
      </w:r>
    </w:p>
  </w:comment>
  <w:comment w:id="2" w:author="Schilling, Julia" w:date="2020-04-01T09:44:00Z" w:initials="SJ">
    <w:p w:rsidR="00962540" w:rsidRDefault="00962540">
      <w:pPr>
        <w:pStyle w:val="Kommentartext"/>
      </w:pPr>
      <w:r>
        <w:rPr>
          <w:rStyle w:val="Kommentarzeichen"/>
        </w:rPr>
        <w:annotationRef/>
      </w:r>
      <w:r w:rsidRPr="000A41E5">
        <w:t>Nicht möglich, da sie in der PIVOT-Abfrage nur zusammen abgefragt werden können (ist eine gemeinsamen Ausprägung)</w:t>
      </w:r>
    </w:p>
  </w:comment>
  <w:comment w:id="4" w:author="Schilling, Julia" w:date="2020-03-31T12:40:00Z" w:initials="SJ">
    <w:p w:rsidR="00BE13FC" w:rsidRDefault="00BE13FC">
      <w:pPr>
        <w:pStyle w:val="Kommentartext"/>
      </w:pPr>
      <w:r>
        <w:rPr>
          <w:rStyle w:val="Kommentarzeichen"/>
        </w:rPr>
        <w:annotationRef/>
      </w:r>
      <w:r>
        <w:t xml:space="preserve">Sehe ich für Pneumonie nicht ganz so, da die schweren Symptome wie bisher berichtet meist erst in der zweiten Erkrankungswoche auftreten und die Fälle z.T. schon gemeldet werden sobald eine Laborbestätigung vorliegt (und z.T. auch bei symptomlosen abgestrichen wird, wenn sie Kontakt mit einem bestätigten Fall hatten). </w:t>
      </w:r>
    </w:p>
  </w:comment>
  <w:comment w:id="5" w:author="Schilling, Julia" w:date="2020-03-31T11:42:00Z" w:initials="SJ">
    <w:p w:rsidR="00BE13FC" w:rsidRDefault="00BE13FC" w:rsidP="0080080E">
      <w:pPr>
        <w:pStyle w:val="Kommentartext"/>
      </w:pPr>
      <w:r>
        <w:rPr>
          <w:rStyle w:val="Kommentarzeichen"/>
        </w:rPr>
        <w:annotationRef/>
      </w:r>
      <w:r>
        <w:t xml:space="preserve">Bitte beachten: Symptome (wie bspw. Pneumonie) werden in der Datenmaske mit einem „Häkchen“ bestätigt. D.h. es gibt hier nur „ja“ und „nein“ als Antwortmöglichkeit und die Angabe einer Spanne wie bei den anderen Punkten macht hier keinen Sinn.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57B"/>
    <w:multiLevelType w:val="hybridMultilevel"/>
    <w:tmpl w:val="D7FC9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BB6914"/>
    <w:multiLevelType w:val="hybridMultilevel"/>
    <w:tmpl w:val="35D200E8"/>
    <w:lvl w:ilvl="0" w:tplc="1BFE22D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24CCC"/>
    <w:multiLevelType w:val="hybridMultilevel"/>
    <w:tmpl w:val="CB8C6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233420"/>
    <w:multiLevelType w:val="hybridMultilevel"/>
    <w:tmpl w:val="F350E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8E72E5"/>
    <w:multiLevelType w:val="hybridMultilevel"/>
    <w:tmpl w:val="38EAF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9D5CC0"/>
    <w:multiLevelType w:val="hybridMultilevel"/>
    <w:tmpl w:val="D3DE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7"/>
    <w:rsid w:val="00001033"/>
    <w:rsid w:val="0000272C"/>
    <w:rsid w:val="000062E3"/>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671E"/>
    <w:rsid w:val="00037D8B"/>
    <w:rsid w:val="00040267"/>
    <w:rsid w:val="00040DB3"/>
    <w:rsid w:val="000419FD"/>
    <w:rsid w:val="000449FF"/>
    <w:rsid w:val="000537EF"/>
    <w:rsid w:val="00053AF9"/>
    <w:rsid w:val="00053D24"/>
    <w:rsid w:val="00054828"/>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2C5E"/>
    <w:rsid w:val="00094598"/>
    <w:rsid w:val="0009464E"/>
    <w:rsid w:val="000946CC"/>
    <w:rsid w:val="000948DA"/>
    <w:rsid w:val="0009651F"/>
    <w:rsid w:val="000976B7"/>
    <w:rsid w:val="00097901"/>
    <w:rsid w:val="000A2013"/>
    <w:rsid w:val="000A2CB8"/>
    <w:rsid w:val="000A40E5"/>
    <w:rsid w:val="000A41E5"/>
    <w:rsid w:val="000A7074"/>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3088"/>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6658"/>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30C6"/>
    <w:rsid w:val="0019440E"/>
    <w:rsid w:val="00197CEE"/>
    <w:rsid w:val="001A1321"/>
    <w:rsid w:val="001A4070"/>
    <w:rsid w:val="001A587D"/>
    <w:rsid w:val="001A785C"/>
    <w:rsid w:val="001B2BFA"/>
    <w:rsid w:val="001B36CB"/>
    <w:rsid w:val="001B47E8"/>
    <w:rsid w:val="001B68F0"/>
    <w:rsid w:val="001C235D"/>
    <w:rsid w:val="001C2E1A"/>
    <w:rsid w:val="001C70BC"/>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56FB0"/>
    <w:rsid w:val="00260A56"/>
    <w:rsid w:val="00262F17"/>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2B"/>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2955"/>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66B"/>
    <w:rsid w:val="003F4D19"/>
    <w:rsid w:val="003F5371"/>
    <w:rsid w:val="003F55BD"/>
    <w:rsid w:val="003F5E9B"/>
    <w:rsid w:val="00400230"/>
    <w:rsid w:val="00402C30"/>
    <w:rsid w:val="0040712E"/>
    <w:rsid w:val="00407B3B"/>
    <w:rsid w:val="004102F4"/>
    <w:rsid w:val="0041085B"/>
    <w:rsid w:val="00411AC1"/>
    <w:rsid w:val="00413BFC"/>
    <w:rsid w:val="00414ABE"/>
    <w:rsid w:val="00414B07"/>
    <w:rsid w:val="00416AB8"/>
    <w:rsid w:val="00416ED6"/>
    <w:rsid w:val="00417C2B"/>
    <w:rsid w:val="00420198"/>
    <w:rsid w:val="00424035"/>
    <w:rsid w:val="00424665"/>
    <w:rsid w:val="004247C7"/>
    <w:rsid w:val="00425220"/>
    <w:rsid w:val="004254CB"/>
    <w:rsid w:val="00425FAC"/>
    <w:rsid w:val="00426417"/>
    <w:rsid w:val="00427399"/>
    <w:rsid w:val="00432CC7"/>
    <w:rsid w:val="004334B6"/>
    <w:rsid w:val="004375BF"/>
    <w:rsid w:val="0044014C"/>
    <w:rsid w:val="00440CAF"/>
    <w:rsid w:val="00442A5A"/>
    <w:rsid w:val="00442AA0"/>
    <w:rsid w:val="00444E17"/>
    <w:rsid w:val="00446EFC"/>
    <w:rsid w:val="004503DC"/>
    <w:rsid w:val="00451C2E"/>
    <w:rsid w:val="0045207D"/>
    <w:rsid w:val="004531CC"/>
    <w:rsid w:val="0045358C"/>
    <w:rsid w:val="00453D7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4F7C"/>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4F1274"/>
    <w:rsid w:val="00501B5F"/>
    <w:rsid w:val="00504F1D"/>
    <w:rsid w:val="00506A0A"/>
    <w:rsid w:val="005075FB"/>
    <w:rsid w:val="005101C4"/>
    <w:rsid w:val="00510830"/>
    <w:rsid w:val="005123BD"/>
    <w:rsid w:val="00520F28"/>
    <w:rsid w:val="00523A48"/>
    <w:rsid w:val="00524818"/>
    <w:rsid w:val="00525F41"/>
    <w:rsid w:val="00531036"/>
    <w:rsid w:val="0053113B"/>
    <w:rsid w:val="00533012"/>
    <w:rsid w:val="0053368E"/>
    <w:rsid w:val="0053793A"/>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5C78"/>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B7FD5"/>
    <w:rsid w:val="005C4149"/>
    <w:rsid w:val="005C5088"/>
    <w:rsid w:val="005C6101"/>
    <w:rsid w:val="005C6331"/>
    <w:rsid w:val="005D18BF"/>
    <w:rsid w:val="005D1C70"/>
    <w:rsid w:val="005D3D98"/>
    <w:rsid w:val="005D5269"/>
    <w:rsid w:val="005D6D5C"/>
    <w:rsid w:val="005E08F2"/>
    <w:rsid w:val="005E2706"/>
    <w:rsid w:val="005E31FE"/>
    <w:rsid w:val="005E51A8"/>
    <w:rsid w:val="005F09F8"/>
    <w:rsid w:val="005F11AB"/>
    <w:rsid w:val="005F35B8"/>
    <w:rsid w:val="005F394D"/>
    <w:rsid w:val="005F3D30"/>
    <w:rsid w:val="005F44DB"/>
    <w:rsid w:val="005F7F67"/>
    <w:rsid w:val="00600254"/>
    <w:rsid w:val="00600C69"/>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5FA"/>
    <w:rsid w:val="00682B64"/>
    <w:rsid w:val="00684D54"/>
    <w:rsid w:val="006910BD"/>
    <w:rsid w:val="00693973"/>
    <w:rsid w:val="00695F14"/>
    <w:rsid w:val="0069630C"/>
    <w:rsid w:val="00696F2B"/>
    <w:rsid w:val="00697080"/>
    <w:rsid w:val="006A0F48"/>
    <w:rsid w:val="006A1857"/>
    <w:rsid w:val="006A1F37"/>
    <w:rsid w:val="006A2D85"/>
    <w:rsid w:val="006A3DDB"/>
    <w:rsid w:val="006B1744"/>
    <w:rsid w:val="006B191D"/>
    <w:rsid w:val="006B2926"/>
    <w:rsid w:val="006B328E"/>
    <w:rsid w:val="006B35EA"/>
    <w:rsid w:val="006B4034"/>
    <w:rsid w:val="006B7089"/>
    <w:rsid w:val="006C00AE"/>
    <w:rsid w:val="006C03F7"/>
    <w:rsid w:val="006C0983"/>
    <w:rsid w:val="006C333A"/>
    <w:rsid w:val="006C4D00"/>
    <w:rsid w:val="006C58D8"/>
    <w:rsid w:val="006C758A"/>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0C7D"/>
    <w:rsid w:val="00781718"/>
    <w:rsid w:val="00782B11"/>
    <w:rsid w:val="00784701"/>
    <w:rsid w:val="00784D1E"/>
    <w:rsid w:val="00786229"/>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1947"/>
    <w:rsid w:val="007D2AE0"/>
    <w:rsid w:val="007D2CD0"/>
    <w:rsid w:val="007D30AE"/>
    <w:rsid w:val="007D35D5"/>
    <w:rsid w:val="007D6239"/>
    <w:rsid w:val="007E1B65"/>
    <w:rsid w:val="007E43D1"/>
    <w:rsid w:val="007E4D4E"/>
    <w:rsid w:val="007E5A3E"/>
    <w:rsid w:val="007F0C04"/>
    <w:rsid w:val="007F26D4"/>
    <w:rsid w:val="007F3D33"/>
    <w:rsid w:val="007F4F5E"/>
    <w:rsid w:val="007F6CF0"/>
    <w:rsid w:val="0080080E"/>
    <w:rsid w:val="00801B7C"/>
    <w:rsid w:val="008026AD"/>
    <w:rsid w:val="00803D0E"/>
    <w:rsid w:val="008063C2"/>
    <w:rsid w:val="00810977"/>
    <w:rsid w:val="00810F04"/>
    <w:rsid w:val="00814530"/>
    <w:rsid w:val="00816AC5"/>
    <w:rsid w:val="008272D0"/>
    <w:rsid w:val="00830E1C"/>
    <w:rsid w:val="00832AA0"/>
    <w:rsid w:val="00832CB6"/>
    <w:rsid w:val="00833A2B"/>
    <w:rsid w:val="00834731"/>
    <w:rsid w:val="00835346"/>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0233"/>
    <w:rsid w:val="00871AC5"/>
    <w:rsid w:val="008762F9"/>
    <w:rsid w:val="008824AB"/>
    <w:rsid w:val="00886279"/>
    <w:rsid w:val="0088743E"/>
    <w:rsid w:val="0088791D"/>
    <w:rsid w:val="00896710"/>
    <w:rsid w:val="008975DF"/>
    <w:rsid w:val="008A12E6"/>
    <w:rsid w:val="008A1996"/>
    <w:rsid w:val="008A2C67"/>
    <w:rsid w:val="008A3631"/>
    <w:rsid w:val="008A488E"/>
    <w:rsid w:val="008A6300"/>
    <w:rsid w:val="008B005E"/>
    <w:rsid w:val="008B0482"/>
    <w:rsid w:val="008B14BE"/>
    <w:rsid w:val="008B1C68"/>
    <w:rsid w:val="008B27FB"/>
    <w:rsid w:val="008B30DA"/>
    <w:rsid w:val="008B4303"/>
    <w:rsid w:val="008B6170"/>
    <w:rsid w:val="008C04A0"/>
    <w:rsid w:val="008C0A83"/>
    <w:rsid w:val="008C17A7"/>
    <w:rsid w:val="008C3264"/>
    <w:rsid w:val="008C397A"/>
    <w:rsid w:val="008C3DAF"/>
    <w:rsid w:val="008C3DDF"/>
    <w:rsid w:val="008C45E6"/>
    <w:rsid w:val="008C57F6"/>
    <w:rsid w:val="008C6857"/>
    <w:rsid w:val="008D065B"/>
    <w:rsid w:val="008D1362"/>
    <w:rsid w:val="008D1477"/>
    <w:rsid w:val="008D2FFB"/>
    <w:rsid w:val="008D3DF1"/>
    <w:rsid w:val="008D463D"/>
    <w:rsid w:val="008D51D1"/>
    <w:rsid w:val="008D5412"/>
    <w:rsid w:val="008D5DD0"/>
    <w:rsid w:val="008D6DAD"/>
    <w:rsid w:val="008D7116"/>
    <w:rsid w:val="008E005A"/>
    <w:rsid w:val="008E1C58"/>
    <w:rsid w:val="008E21E1"/>
    <w:rsid w:val="008E2972"/>
    <w:rsid w:val="008E2989"/>
    <w:rsid w:val="008E47B7"/>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2AE"/>
    <w:rsid w:val="0090631D"/>
    <w:rsid w:val="00910954"/>
    <w:rsid w:val="00910E30"/>
    <w:rsid w:val="009113BC"/>
    <w:rsid w:val="00913549"/>
    <w:rsid w:val="0091633E"/>
    <w:rsid w:val="00916501"/>
    <w:rsid w:val="00917FFC"/>
    <w:rsid w:val="009215E6"/>
    <w:rsid w:val="009216A4"/>
    <w:rsid w:val="00921992"/>
    <w:rsid w:val="00922D9B"/>
    <w:rsid w:val="009249F9"/>
    <w:rsid w:val="00924F37"/>
    <w:rsid w:val="00925D9A"/>
    <w:rsid w:val="00926425"/>
    <w:rsid w:val="00926CD8"/>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2540"/>
    <w:rsid w:val="009632D0"/>
    <w:rsid w:val="00963B14"/>
    <w:rsid w:val="00964B6B"/>
    <w:rsid w:val="00966B79"/>
    <w:rsid w:val="009675F7"/>
    <w:rsid w:val="009678D4"/>
    <w:rsid w:val="0097027B"/>
    <w:rsid w:val="0097431B"/>
    <w:rsid w:val="00974C78"/>
    <w:rsid w:val="009755EE"/>
    <w:rsid w:val="00975B61"/>
    <w:rsid w:val="009763E5"/>
    <w:rsid w:val="00976C95"/>
    <w:rsid w:val="0097739A"/>
    <w:rsid w:val="0097776C"/>
    <w:rsid w:val="00981800"/>
    <w:rsid w:val="00982DBB"/>
    <w:rsid w:val="00984799"/>
    <w:rsid w:val="0098490C"/>
    <w:rsid w:val="00984C5B"/>
    <w:rsid w:val="00985B6F"/>
    <w:rsid w:val="009867F4"/>
    <w:rsid w:val="00987A34"/>
    <w:rsid w:val="00987DF3"/>
    <w:rsid w:val="0099012F"/>
    <w:rsid w:val="009936A6"/>
    <w:rsid w:val="0099641A"/>
    <w:rsid w:val="00997DD9"/>
    <w:rsid w:val="009A1D68"/>
    <w:rsid w:val="009A1F8E"/>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25F9C"/>
    <w:rsid w:val="00A30EC9"/>
    <w:rsid w:val="00A30FE3"/>
    <w:rsid w:val="00A31DBA"/>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4C20"/>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2F9C"/>
    <w:rsid w:val="00AA3101"/>
    <w:rsid w:val="00AA419D"/>
    <w:rsid w:val="00AA421E"/>
    <w:rsid w:val="00AA727E"/>
    <w:rsid w:val="00AB103C"/>
    <w:rsid w:val="00AB1ABE"/>
    <w:rsid w:val="00AB291F"/>
    <w:rsid w:val="00AB3CBC"/>
    <w:rsid w:val="00AB50A4"/>
    <w:rsid w:val="00AB5967"/>
    <w:rsid w:val="00AB5D69"/>
    <w:rsid w:val="00AB6226"/>
    <w:rsid w:val="00AB64F8"/>
    <w:rsid w:val="00AB74F3"/>
    <w:rsid w:val="00AC14C2"/>
    <w:rsid w:val="00AC1F3E"/>
    <w:rsid w:val="00AC3B0B"/>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6A1B"/>
    <w:rsid w:val="00B17DA0"/>
    <w:rsid w:val="00B212A9"/>
    <w:rsid w:val="00B23FED"/>
    <w:rsid w:val="00B25E4C"/>
    <w:rsid w:val="00B25EAA"/>
    <w:rsid w:val="00B3271E"/>
    <w:rsid w:val="00B333A6"/>
    <w:rsid w:val="00B33601"/>
    <w:rsid w:val="00B34B60"/>
    <w:rsid w:val="00B364CD"/>
    <w:rsid w:val="00B36660"/>
    <w:rsid w:val="00B3732B"/>
    <w:rsid w:val="00B375BF"/>
    <w:rsid w:val="00B37C6D"/>
    <w:rsid w:val="00B41729"/>
    <w:rsid w:val="00B41E31"/>
    <w:rsid w:val="00B5052A"/>
    <w:rsid w:val="00B5599E"/>
    <w:rsid w:val="00B619F2"/>
    <w:rsid w:val="00B61A44"/>
    <w:rsid w:val="00B6215E"/>
    <w:rsid w:val="00B6248B"/>
    <w:rsid w:val="00B662BD"/>
    <w:rsid w:val="00B677BA"/>
    <w:rsid w:val="00B76454"/>
    <w:rsid w:val="00B802F9"/>
    <w:rsid w:val="00B82299"/>
    <w:rsid w:val="00B82D92"/>
    <w:rsid w:val="00B900E6"/>
    <w:rsid w:val="00B942F5"/>
    <w:rsid w:val="00B96528"/>
    <w:rsid w:val="00BA3D26"/>
    <w:rsid w:val="00BA4F6B"/>
    <w:rsid w:val="00BA7F8B"/>
    <w:rsid w:val="00BB0C74"/>
    <w:rsid w:val="00BB1288"/>
    <w:rsid w:val="00BB178C"/>
    <w:rsid w:val="00BB19B6"/>
    <w:rsid w:val="00BB3C43"/>
    <w:rsid w:val="00BB6B4A"/>
    <w:rsid w:val="00BC04C6"/>
    <w:rsid w:val="00BC0DEE"/>
    <w:rsid w:val="00BC12B2"/>
    <w:rsid w:val="00BC2386"/>
    <w:rsid w:val="00BC34E0"/>
    <w:rsid w:val="00BC444C"/>
    <w:rsid w:val="00BC5803"/>
    <w:rsid w:val="00BC5AC8"/>
    <w:rsid w:val="00BC7B0A"/>
    <w:rsid w:val="00BC7C64"/>
    <w:rsid w:val="00BD03A7"/>
    <w:rsid w:val="00BD15FF"/>
    <w:rsid w:val="00BD1718"/>
    <w:rsid w:val="00BD3BB2"/>
    <w:rsid w:val="00BD52BB"/>
    <w:rsid w:val="00BD6138"/>
    <w:rsid w:val="00BD7AA0"/>
    <w:rsid w:val="00BE0BD7"/>
    <w:rsid w:val="00BE13FC"/>
    <w:rsid w:val="00BE5325"/>
    <w:rsid w:val="00BE6C96"/>
    <w:rsid w:val="00BE7FBC"/>
    <w:rsid w:val="00BF0BE2"/>
    <w:rsid w:val="00BF1360"/>
    <w:rsid w:val="00BF2187"/>
    <w:rsid w:val="00BF4290"/>
    <w:rsid w:val="00BF53B2"/>
    <w:rsid w:val="00C0269B"/>
    <w:rsid w:val="00C03032"/>
    <w:rsid w:val="00C11E97"/>
    <w:rsid w:val="00C1385B"/>
    <w:rsid w:val="00C13D9A"/>
    <w:rsid w:val="00C13E3A"/>
    <w:rsid w:val="00C14B58"/>
    <w:rsid w:val="00C22CB8"/>
    <w:rsid w:val="00C25622"/>
    <w:rsid w:val="00C27400"/>
    <w:rsid w:val="00C27B9B"/>
    <w:rsid w:val="00C302FF"/>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451"/>
    <w:rsid w:val="00CD1C4E"/>
    <w:rsid w:val="00CD2A39"/>
    <w:rsid w:val="00CD2BD7"/>
    <w:rsid w:val="00CD391B"/>
    <w:rsid w:val="00CD3C10"/>
    <w:rsid w:val="00CD53CD"/>
    <w:rsid w:val="00CD68AC"/>
    <w:rsid w:val="00CD695A"/>
    <w:rsid w:val="00CE5362"/>
    <w:rsid w:val="00CE5589"/>
    <w:rsid w:val="00CF0E22"/>
    <w:rsid w:val="00CF4757"/>
    <w:rsid w:val="00CF5FB5"/>
    <w:rsid w:val="00CF763B"/>
    <w:rsid w:val="00D0420F"/>
    <w:rsid w:val="00D06E3A"/>
    <w:rsid w:val="00D0783F"/>
    <w:rsid w:val="00D07EDB"/>
    <w:rsid w:val="00D10871"/>
    <w:rsid w:val="00D114E3"/>
    <w:rsid w:val="00D12583"/>
    <w:rsid w:val="00D141DD"/>
    <w:rsid w:val="00D1461B"/>
    <w:rsid w:val="00D14F71"/>
    <w:rsid w:val="00D175B0"/>
    <w:rsid w:val="00D1783B"/>
    <w:rsid w:val="00D17DCB"/>
    <w:rsid w:val="00D21301"/>
    <w:rsid w:val="00D22A38"/>
    <w:rsid w:val="00D2638E"/>
    <w:rsid w:val="00D315E8"/>
    <w:rsid w:val="00D32F78"/>
    <w:rsid w:val="00D3329B"/>
    <w:rsid w:val="00D33AC7"/>
    <w:rsid w:val="00D34969"/>
    <w:rsid w:val="00D40C1F"/>
    <w:rsid w:val="00D44E21"/>
    <w:rsid w:val="00D45DB2"/>
    <w:rsid w:val="00D5054B"/>
    <w:rsid w:val="00D53E85"/>
    <w:rsid w:val="00D5424A"/>
    <w:rsid w:val="00D55ED1"/>
    <w:rsid w:val="00D57ACC"/>
    <w:rsid w:val="00D62556"/>
    <w:rsid w:val="00D62C94"/>
    <w:rsid w:val="00D62E7E"/>
    <w:rsid w:val="00D637C2"/>
    <w:rsid w:val="00D639CC"/>
    <w:rsid w:val="00D63F7A"/>
    <w:rsid w:val="00D64A92"/>
    <w:rsid w:val="00D717C6"/>
    <w:rsid w:val="00D71B39"/>
    <w:rsid w:val="00D764A4"/>
    <w:rsid w:val="00D774C9"/>
    <w:rsid w:val="00D84AF9"/>
    <w:rsid w:val="00D86A66"/>
    <w:rsid w:val="00D91B4B"/>
    <w:rsid w:val="00D9233C"/>
    <w:rsid w:val="00D92616"/>
    <w:rsid w:val="00DA0E59"/>
    <w:rsid w:val="00DA1B3C"/>
    <w:rsid w:val="00DA1E58"/>
    <w:rsid w:val="00DA5A8F"/>
    <w:rsid w:val="00DB1708"/>
    <w:rsid w:val="00DB4507"/>
    <w:rsid w:val="00DB67FA"/>
    <w:rsid w:val="00DC0237"/>
    <w:rsid w:val="00DC05BA"/>
    <w:rsid w:val="00DC2BE3"/>
    <w:rsid w:val="00DC6B1A"/>
    <w:rsid w:val="00DC7032"/>
    <w:rsid w:val="00DC7055"/>
    <w:rsid w:val="00DC7163"/>
    <w:rsid w:val="00DD1A7E"/>
    <w:rsid w:val="00DD34A6"/>
    <w:rsid w:val="00DD3E5D"/>
    <w:rsid w:val="00DD4A06"/>
    <w:rsid w:val="00DE02B3"/>
    <w:rsid w:val="00DE2530"/>
    <w:rsid w:val="00DE4972"/>
    <w:rsid w:val="00DE4AB2"/>
    <w:rsid w:val="00DF06CC"/>
    <w:rsid w:val="00DF0D58"/>
    <w:rsid w:val="00DF2742"/>
    <w:rsid w:val="00DF4D9B"/>
    <w:rsid w:val="00DF70D3"/>
    <w:rsid w:val="00DF79D5"/>
    <w:rsid w:val="00E01A70"/>
    <w:rsid w:val="00E02DB9"/>
    <w:rsid w:val="00E0534E"/>
    <w:rsid w:val="00E1122A"/>
    <w:rsid w:val="00E134F8"/>
    <w:rsid w:val="00E141A0"/>
    <w:rsid w:val="00E1642D"/>
    <w:rsid w:val="00E20C08"/>
    <w:rsid w:val="00E223C6"/>
    <w:rsid w:val="00E23327"/>
    <w:rsid w:val="00E23B90"/>
    <w:rsid w:val="00E23CF6"/>
    <w:rsid w:val="00E32333"/>
    <w:rsid w:val="00E339AA"/>
    <w:rsid w:val="00E34020"/>
    <w:rsid w:val="00E3583B"/>
    <w:rsid w:val="00E35FFE"/>
    <w:rsid w:val="00E363EF"/>
    <w:rsid w:val="00E40C8F"/>
    <w:rsid w:val="00E41AC8"/>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5FEC"/>
    <w:rsid w:val="00EB6580"/>
    <w:rsid w:val="00EB6802"/>
    <w:rsid w:val="00EB79CF"/>
    <w:rsid w:val="00EC02E6"/>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6E93"/>
    <w:rsid w:val="00EF72FC"/>
    <w:rsid w:val="00F00B3A"/>
    <w:rsid w:val="00F01170"/>
    <w:rsid w:val="00F01F51"/>
    <w:rsid w:val="00F022CC"/>
    <w:rsid w:val="00F03D93"/>
    <w:rsid w:val="00F06C1A"/>
    <w:rsid w:val="00F072E6"/>
    <w:rsid w:val="00F100A4"/>
    <w:rsid w:val="00F11035"/>
    <w:rsid w:val="00F11125"/>
    <w:rsid w:val="00F116F3"/>
    <w:rsid w:val="00F1355F"/>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347A"/>
    <w:rsid w:val="00F74BC8"/>
    <w:rsid w:val="00F75BA1"/>
    <w:rsid w:val="00F76863"/>
    <w:rsid w:val="00F76BBD"/>
    <w:rsid w:val="00F81190"/>
    <w:rsid w:val="00F8193A"/>
    <w:rsid w:val="00F838A9"/>
    <w:rsid w:val="00F869ED"/>
    <w:rsid w:val="00F919BA"/>
    <w:rsid w:val="00F92DD3"/>
    <w:rsid w:val="00F92EF7"/>
    <w:rsid w:val="00F935D8"/>
    <w:rsid w:val="00F93DD4"/>
    <w:rsid w:val="00F93F3D"/>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6B75"/>
    <w:rsid w:val="00FC76E2"/>
    <w:rsid w:val="00FD03C6"/>
    <w:rsid w:val="00FD158F"/>
    <w:rsid w:val="00FD2D5D"/>
    <w:rsid w:val="00FD4DE1"/>
    <w:rsid w:val="00FD546C"/>
    <w:rsid w:val="00FD6243"/>
    <w:rsid w:val="00FD6DA5"/>
    <w:rsid w:val="00FD75A9"/>
    <w:rsid w:val="00FD7703"/>
    <w:rsid w:val="00FE5CA0"/>
    <w:rsid w:val="00FE7C2E"/>
    <w:rsid w:val="00FF0DEC"/>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7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41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10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F7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7F6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F7F6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4014C"/>
    <w:pPr>
      <w:ind w:left="720"/>
      <w:contextualSpacing/>
    </w:pPr>
  </w:style>
  <w:style w:type="character" w:styleId="Hyperlink">
    <w:name w:val="Hyperlink"/>
    <w:basedOn w:val="Absatz-Standardschriftart"/>
    <w:uiPriority w:val="99"/>
    <w:unhideWhenUsed/>
    <w:rsid w:val="00DC6B1A"/>
    <w:rPr>
      <w:color w:val="0000FF" w:themeColor="hyperlink"/>
      <w:u w:val="single"/>
    </w:rPr>
  </w:style>
  <w:style w:type="paragraph" w:styleId="Sprechblasentext">
    <w:name w:val="Balloon Text"/>
    <w:basedOn w:val="Standard"/>
    <w:link w:val="SprechblasentextZchn"/>
    <w:uiPriority w:val="99"/>
    <w:semiHidden/>
    <w:unhideWhenUsed/>
    <w:rsid w:val="00B3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660"/>
    <w:rPr>
      <w:rFonts w:ascii="Tahoma" w:hAnsi="Tahoma" w:cs="Tahoma"/>
      <w:sz w:val="16"/>
      <w:szCs w:val="16"/>
    </w:rPr>
  </w:style>
  <w:style w:type="character" w:customStyle="1" w:styleId="berschrift2Zchn">
    <w:name w:val="Überschrift 2 Zchn"/>
    <w:basedOn w:val="Absatz-Standardschriftart"/>
    <w:link w:val="berschrift2"/>
    <w:uiPriority w:val="9"/>
    <w:rsid w:val="00E41AC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100A4"/>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92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F47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ommentarzeichen">
    <w:name w:val="annotation reference"/>
    <w:basedOn w:val="Absatz-Standardschriftart"/>
    <w:uiPriority w:val="99"/>
    <w:semiHidden/>
    <w:unhideWhenUsed/>
    <w:rsid w:val="00156658"/>
    <w:rPr>
      <w:sz w:val="16"/>
      <w:szCs w:val="16"/>
    </w:rPr>
  </w:style>
  <w:style w:type="paragraph" w:styleId="Kommentartext">
    <w:name w:val="annotation text"/>
    <w:basedOn w:val="Standard"/>
    <w:link w:val="KommentartextZchn"/>
    <w:uiPriority w:val="99"/>
    <w:semiHidden/>
    <w:unhideWhenUsed/>
    <w:rsid w:val="001566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6658"/>
    <w:rPr>
      <w:sz w:val="20"/>
      <w:szCs w:val="20"/>
    </w:rPr>
  </w:style>
  <w:style w:type="paragraph" w:styleId="Kommentarthema">
    <w:name w:val="annotation subject"/>
    <w:basedOn w:val="Kommentartext"/>
    <w:next w:val="Kommentartext"/>
    <w:link w:val="KommentarthemaZchn"/>
    <w:uiPriority w:val="99"/>
    <w:semiHidden/>
    <w:unhideWhenUsed/>
    <w:rsid w:val="00156658"/>
    <w:rPr>
      <w:b/>
      <w:bCs/>
    </w:rPr>
  </w:style>
  <w:style w:type="character" w:customStyle="1" w:styleId="KommentarthemaZchn">
    <w:name w:val="Kommentarthema Zchn"/>
    <w:basedOn w:val="KommentartextZchn"/>
    <w:link w:val="Kommentarthema"/>
    <w:uiPriority w:val="99"/>
    <w:semiHidden/>
    <w:rsid w:val="001566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7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41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10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F7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7F6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F7F6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4014C"/>
    <w:pPr>
      <w:ind w:left="720"/>
      <w:contextualSpacing/>
    </w:pPr>
  </w:style>
  <w:style w:type="character" w:styleId="Hyperlink">
    <w:name w:val="Hyperlink"/>
    <w:basedOn w:val="Absatz-Standardschriftart"/>
    <w:uiPriority w:val="99"/>
    <w:unhideWhenUsed/>
    <w:rsid w:val="00DC6B1A"/>
    <w:rPr>
      <w:color w:val="0000FF" w:themeColor="hyperlink"/>
      <w:u w:val="single"/>
    </w:rPr>
  </w:style>
  <w:style w:type="paragraph" w:styleId="Sprechblasentext">
    <w:name w:val="Balloon Text"/>
    <w:basedOn w:val="Standard"/>
    <w:link w:val="SprechblasentextZchn"/>
    <w:uiPriority w:val="99"/>
    <w:semiHidden/>
    <w:unhideWhenUsed/>
    <w:rsid w:val="00B3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660"/>
    <w:rPr>
      <w:rFonts w:ascii="Tahoma" w:hAnsi="Tahoma" w:cs="Tahoma"/>
      <w:sz w:val="16"/>
      <w:szCs w:val="16"/>
    </w:rPr>
  </w:style>
  <w:style w:type="character" w:customStyle="1" w:styleId="berschrift2Zchn">
    <w:name w:val="Überschrift 2 Zchn"/>
    <w:basedOn w:val="Absatz-Standardschriftart"/>
    <w:link w:val="berschrift2"/>
    <w:uiPriority w:val="9"/>
    <w:rsid w:val="00E41AC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100A4"/>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92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F47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ommentarzeichen">
    <w:name w:val="annotation reference"/>
    <w:basedOn w:val="Absatz-Standardschriftart"/>
    <w:uiPriority w:val="99"/>
    <w:semiHidden/>
    <w:unhideWhenUsed/>
    <w:rsid w:val="00156658"/>
    <w:rPr>
      <w:sz w:val="16"/>
      <w:szCs w:val="16"/>
    </w:rPr>
  </w:style>
  <w:style w:type="paragraph" w:styleId="Kommentartext">
    <w:name w:val="annotation text"/>
    <w:basedOn w:val="Standard"/>
    <w:link w:val="KommentartextZchn"/>
    <w:uiPriority w:val="99"/>
    <w:semiHidden/>
    <w:unhideWhenUsed/>
    <w:rsid w:val="001566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6658"/>
    <w:rPr>
      <w:sz w:val="20"/>
      <w:szCs w:val="20"/>
    </w:rPr>
  </w:style>
  <w:style w:type="paragraph" w:styleId="Kommentarthema">
    <w:name w:val="annotation subject"/>
    <w:basedOn w:val="Kommentartext"/>
    <w:next w:val="Kommentartext"/>
    <w:link w:val="KommentarthemaZchn"/>
    <w:uiPriority w:val="99"/>
    <w:semiHidden/>
    <w:unhideWhenUsed/>
    <w:rsid w:val="00156658"/>
    <w:rPr>
      <w:b/>
      <w:bCs/>
    </w:rPr>
  </w:style>
  <w:style w:type="character" w:customStyle="1" w:styleId="KommentarthemaZchn">
    <w:name w:val="Kommentarthema Zchn"/>
    <w:basedOn w:val="KommentartextZchn"/>
    <w:link w:val="Kommentarthema"/>
    <w:uiPriority w:val="99"/>
    <w:semiHidden/>
    <w:rsid w:val="00156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490">
      <w:bodyDiv w:val="1"/>
      <w:marLeft w:val="0"/>
      <w:marRight w:val="0"/>
      <w:marTop w:val="0"/>
      <w:marBottom w:val="0"/>
      <w:divBdr>
        <w:top w:val="none" w:sz="0" w:space="0" w:color="auto"/>
        <w:left w:val="none" w:sz="0" w:space="0" w:color="auto"/>
        <w:bottom w:val="none" w:sz="0" w:space="0" w:color="auto"/>
        <w:right w:val="none" w:sz="0" w:space="0" w:color="auto"/>
      </w:divBdr>
    </w:div>
    <w:div w:id="316500319">
      <w:bodyDiv w:val="1"/>
      <w:marLeft w:val="0"/>
      <w:marRight w:val="0"/>
      <w:marTop w:val="0"/>
      <w:marBottom w:val="0"/>
      <w:divBdr>
        <w:top w:val="none" w:sz="0" w:space="0" w:color="auto"/>
        <w:left w:val="none" w:sz="0" w:space="0" w:color="auto"/>
        <w:bottom w:val="none" w:sz="0" w:space="0" w:color="auto"/>
        <w:right w:val="none" w:sz="0" w:space="0" w:color="auto"/>
      </w:divBdr>
    </w:div>
    <w:div w:id="334578323">
      <w:bodyDiv w:val="1"/>
      <w:marLeft w:val="0"/>
      <w:marRight w:val="0"/>
      <w:marTop w:val="0"/>
      <w:marBottom w:val="0"/>
      <w:divBdr>
        <w:top w:val="none" w:sz="0" w:space="0" w:color="auto"/>
        <w:left w:val="none" w:sz="0" w:space="0" w:color="auto"/>
        <w:bottom w:val="none" w:sz="0" w:space="0" w:color="auto"/>
        <w:right w:val="none" w:sz="0" w:space="0" w:color="auto"/>
      </w:divBdr>
    </w:div>
    <w:div w:id="471866468">
      <w:bodyDiv w:val="1"/>
      <w:marLeft w:val="0"/>
      <w:marRight w:val="0"/>
      <w:marTop w:val="0"/>
      <w:marBottom w:val="0"/>
      <w:divBdr>
        <w:top w:val="none" w:sz="0" w:space="0" w:color="auto"/>
        <w:left w:val="none" w:sz="0" w:space="0" w:color="auto"/>
        <w:bottom w:val="none" w:sz="0" w:space="0" w:color="auto"/>
        <w:right w:val="none" w:sz="0" w:space="0" w:color="auto"/>
      </w:divBdr>
    </w:div>
    <w:div w:id="713584215">
      <w:bodyDiv w:val="1"/>
      <w:marLeft w:val="0"/>
      <w:marRight w:val="0"/>
      <w:marTop w:val="0"/>
      <w:marBottom w:val="0"/>
      <w:divBdr>
        <w:top w:val="none" w:sz="0" w:space="0" w:color="auto"/>
        <w:left w:val="none" w:sz="0" w:space="0" w:color="auto"/>
        <w:bottom w:val="none" w:sz="0" w:space="0" w:color="auto"/>
        <w:right w:val="none" w:sz="0" w:space="0" w:color="auto"/>
      </w:divBdr>
    </w:div>
    <w:div w:id="1222206135">
      <w:bodyDiv w:val="1"/>
      <w:marLeft w:val="0"/>
      <w:marRight w:val="0"/>
      <w:marTop w:val="0"/>
      <w:marBottom w:val="0"/>
      <w:divBdr>
        <w:top w:val="none" w:sz="0" w:space="0" w:color="auto"/>
        <w:left w:val="none" w:sz="0" w:space="0" w:color="auto"/>
        <w:bottom w:val="none" w:sz="0" w:space="0" w:color="auto"/>
        <w:right w:val="none" w:sz="0" w:space="0" w:color="auto"/>
      </w:divBdr>
    </w:div>
    <w:div w:id="1269192976">
      <w:bodyDiv w:val="1"/>
      <w:marLeft w:val="0"/>
      <w:marRight w:val="0"/>
      <w:marTop w:val="0"/>
      <w:marBottom w:val="0"/>
      <w:divBdr>
        <w:top w:val="none" w:sz="0" w:space="0" w:color="auto"/>
        <w:left w:val="none" w:sz="0" w:space="0" w:color="auto"/>
        <w:bottom w:val="none" w:sz="0" w:space="0" w:color="auto"/>
        <w:right w:val="none" w:sz="0" w:space="0" w:color="auto"/>
      </w:divBdr>
    </w:div>
    <w:div w:id="1303147494">
      <w:bodyDiv w:val="1"/>
      <w:marLeft w:val="0"/>
      <w:marRight w:val="0"/>
      <w:marTop w:val="0"/>
      <w:marBottom w:val="0"/>
      <w:divBdr>
        <w:top w:val="none" w:sz="0" w:space="0" w:color="auto"/>
        <w:left w:val="none" w:sz="0" w:space="0" w:color="auto"/>
        <w:bottom w:val="none" w:sz="0" w:space="0" w:color="auto"/>
        <w:right w:val="none" w:sz="0" w:space="0" w:color="auto"/>
      </w:divBdr>
    </w:div>
    <w:div w:id="1325400887">
      <w:bodyDiv w:val="1"/>
      <w:marLeft w:val="0"/>
      <w:marRight w:val="0"/>
      <w:marTop w:val="0"/>
      <w:marBottom w:val="0"/>
      <w:divBdr>
        <w:top w:val="none" w:sz="0" w:space="0" w:color="auto"/>
        <w:left w:val="none" w:sz="0" w:space="0" w:color="auto"/>
        <w:bottom w:val="none" w:sz="0" w:space="0" w:color="auto"/>
        <w:right w:val="none" w:sz="0" w:space="0" w:color="auto"/>
      </w:divBdr>
    </w:div>
    <w:div w:id="1365978270">
      <w:bodyDiv w:val="1"/>
      <w:marLeft w:val="0"/>
      <w:marRight w:val="0"/>
      <w:marTop w:val="0"/>
      <w:marBottom w:val="0"/>
      <w:divBdr>
        <w:top w:val="none" w:sz="0" w:space="0" w:color="auto"/>
        <w:left w:val="none" w:sz="0" w:space="0" w:color="auto"/>
        <w:bottom w:val="none" w:sz="0" w:space="0" w:color="auto"/>
        <w:right w:val="none" w:sz="0" w:space="0" w:color="auto"/>
      </w:divBdr>
    </w:div>
    <w:div w:id="1430081245">
      <w:bodyDiv w:val="1"/>
      <w:marLeft w:val="0"/>
      <w:marRight w:val="0"/>
      <w:marTop w:val="0"/>
      <w:marBottom w:val="0"/>
      <w:divBdr>
        <w:top w:val="none" w:sz="0" w:space="0" w:color="auto"/>
        <w:left w:val="none" w:sz="0" w:space="0" w:color="auto"/>
        <w:bottom w:val="none" w:sz="0" w:space="0" w:color="auto"/>
        <w:right w:val="none" w:sz="0" w:space="0" w:color="auto"/>
      </w:divBdr>
    </w:div>
    <w:div w:id="1613438925">
      <w:bodyDiv w:val="1"/>
      <w:marLeft w:val="0"/>
      <w:marRight w:val="0"/>
      <w:marTop w:val="0"/>
      <w:marBottom w:val="0"/>
      <w:divBdr>
        <w:top w:val="none" w:sz="0" w:space="0" w:color="auto"/>
        <w:left w:val="none" w:sz="0" w:space="0" w:color="auto"/>
        <w:bottom w:val="none" w:sz="0" w:space="0" w:color="auto"/>
        <w:right w:val="none" w:sz="0" w:space="0" w:color="auto"/>
      </w:divBdr>
    </w:div>
    <w:div w:id="1757172105">
      <w:bodyDiv w:val="1"/>
      <w:marLeft w:val="0"/>
      <w:marRight w:val="0"/>
      <w:marTop w:val="0"/>
      <w:marBottom w:val="0"/>
      <w:divBdr>
        <w:top w:val="none" w:sz="0" w:space="0" w:color="auto"/>
        <w:left w:val="none" w:sz="0" w:space="0" w:color="auto"/>
        <w:bottom w:val="none" w:sz="0" w:space="0" w:color="auto"/>
        <w:right w:val="none" w:sz="0" w:space="0" w:color="auto"/>
      </w:divBdr>
    </w:div>
    <w:div w:id="1766802423">
      <w:bodyDiv w:val="1"/>
      <w:marLeft w:val="0"/>
      <w:marRight w:val="0"/>
      <w:marTop w:val="0"/>
      <w:marBottom w:val="0"/>
      <w:divBdr>
        <w:top w:val="none" w:sz="0" w:space="0" w:color="auto"/>
        <w:left w:val="none" w:sz="0" w:space="0" w:color="auto"/>
        <w:bottom w:val="none" w:sz="0" w:space="0" w:color="auto"/>
        <w:right w:val="none" w:sz="0" w:space="0" w:color="auto"/>
      </w:divBdr>
    </w:div>
    <w:div w:id="1935168636">
      <w:bodyDiv w:val="1"/>
      <w:marLeft w:val="0"/>
      <w:marRight w:val="0"/>
      <w:marTop w:val="0"/>
      <w:marBottom w:val="0"/>
      <w:divBdr>
        <w:top w:val="none" w:sz="0" w:space="0" w:color="auto"/>
        <w:left w:val="none" w:sz="0" w:space="0" w:color="auto"/>
        <w:bottom w:val="none" w:sz="0" w:space="0" w:color="auto"/>
        <w:right w:val="none" w:sz="0" w:space="0" w:color="auto"/>
      </w:divBdr>
    </w:div>
    <w:div w:id="19352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ekt/EpidBull/Archiv/2020/07/Art_02.html" TargetMode="External"/><Relationship Id="rId5" Type="http://schemas.openxmlformats.org/officeDocument/2006/relationships/settings" Target="settings.xml"/><Relationship Id="rId10" Type="http://schemas.openxmlformats.org/officeDocument/2006/relationships/hyperlink" Target="https://www.rki.de/DE/Content/InfAZ/N/Neuartiges_Coronavirus/Empfehlung_Meldung.html" TargetMode="External"/><Relationship Id="rId4" Type="http://schemas.microsoft.com/office/2007/relationships/stylesWithEffects" Target="stylesWithEffects.xml"/><Relationship Id="rId9" Type="http://schemas.openxmlformats.org/officeDocument/2006/relationships/hyperlink" Target="https://www.rki.de/DE/Content/Infekt/EpidBull/Archiv/2020/14/Tabell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4AD3-353B-4C39-A5A5-C70D935C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9388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Schilling, Julia</cp:lastModifiedBy>
  <cp:revision>14</cp:revision>
  <dcterms:created xsi:type="dcterms:W3CDTF">2020-03-31T08:33:00Z</dcterms:created>
  <dcterms:modified xsi:type="dcterms:W3CDTF">2020-04-01T08:22:00Z</dcterms:modified>
</cp:coreProperties>
</file>