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Vitero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Bericht Christina Frank aus Jessen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Bewertung Relevanz Asymptomatischer für Maßnahmen</w:t>
            </w: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Modernisierungsschub für die Verwaltung (z.B. auch Gesundheitsämter) Vgl. Protokoll des BMG-BMI-Krisenstabs (vom 26.3.20)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lastRenderedPageBreak/>
              <w:t>Entlasskriterien</w:t>
            </w:r>
            <w:proofErr w:type="spellEnd"/>
            <w:r>
              <w:t xml:space="preserve"> - ambulanter Bereich /Neue Version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Erfassung klinischer Verläufe durch Register LEOSS des DZIF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Projekt ITCU: Telemedizin zur Stärkung v. Intensivstationen</w:t>
            </w:r>
          </w:p>
        </w:tc>
        <w:tc>
          <w:tcPr>
            <w:tcW w:w="1818" w:type="dxa"/>
          </w:tcPr>
          <w:p/>
          <w:p>
            <w:r>
              <w:lastRenderedPageBreak/>
              <w:t>FG36/IBBS/FG32</w:t>
            </w:r>
          </w:p>
        </w:tc>
      </w:tr>
      <w:tr>
        <w:tc>
          <w:tcPr>
            <w:tcW w:w="631" w:type="dxa"/>
          </w:tcPr>
          <w:p>
            <w:r>
              <w:lastRenderedPageBreak/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SARS-CoV-2-pos. med. Personal, dass nach Ende der 14-tägigen Isolation und mind. 48 stündiger Symptomfreiheit weiterhin positive Befunde hat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„geheilten" Covid-19 Fällen, wenn diese wieder einen Kontakt zu akut Erkrankten hatten. Erneute 14-tägige Quarantäne oder anzunehmende Immunität ohne weitere Maßnahmen?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/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xx.03.2020,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EE785-B194-418D-9416-60E320C1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2020-04-01T11:12:00Z</dcterms:created>
  <dcterms:modified xsi:type="dcterms:W3CDTF">2022-12-22T11:13:00Z</dcterms:modified>
</cp:coreProperties>
</file>