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93" w:rsidRPr="00456393" w:rsidRDefault="002B5B8C" w:rsidP="0045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 </w:t>
      </w:r>
      <w:r w:rsidR="006C3488">
        <w:rPr>
          <w:b/>
          <w:sz w:val="28"/>
          <w:szCs w:val="28"/>
        </w:rPr>
        <w:t>0</w:t>
      </w:r>
      <w:r w:rsidR="006F7844">
        <w:rPr>
          <w:b/>
          <w:sz w:val="28"/>
          <w:szCs w:val="28"/>
        </w:rPr>
        <w:t>3</w:t>
      </w:r>
      <w:r w:rsidR="004B3CE4">
        <w:rPr>
          <w:b/>
          <w:sz w:val="28"/>
          <w:szCs w:val="28"/>
        </w:rPr>
        <w:t>.04</w:t>
      </w:r>
      <w:r w:rsidR="00456393" w:rsidRPr="00456393">
        <w:rPr>
          <w:b/>
          <w:sz w:val="28"/>
          <w:szCs w:val="28"/>
        </w:rPr>
        <w:t>.2020</w:t>
      </w:r>
      <w:r w:rsidR="00075333">
        <w:rPr>
          <w:b/>
          <w:sz w:val="28"/>
          <w:szCs w:val="28"/>
        </w:rPr>
        <w:t>; 12</w:t>
      </w:r>
      <w:r w:rsidR="00CB295C">
        <w:rPr>
          <w:b/>
          <w:sz w:val="28"/>
          <w:szCs w:val="28"/>
        </w:rPr>
        <w:t>:15</w:t>
      </w:r>
      <w:r w:rsidR="00075333">
        <w:rPr>
          <w:b/>
          <w:sz w:val="28"/>
          <w:szCs w:val="28"/>
        </w:rPr>
        <w:t xml:space="preserve"> Uhr</w:t>
      </w:r>
    </w:p>
    <w:p w:rsidR="007978F6" w:rsidRPr="00441972" w:rsidRDefault="00131761" w:rsidP="00441972">
      <w:pPr>
        <w:pStyle w:val="berschrift1"/>
      </w:pPr>
      <w:r w:rsidRPr="00441972">
        <w:t xml:space="preserve">Optionen zur getrennten </w:t>
      </w:r>
      <w:r w:rsidR="00AD519D" w:rsidRPr="00441972">
        <w:t>V</w:t>
      </w:r>
      <w:r w:rsidRPr="00441972">
        <w:t xml:space="preserve">ersorgung von COVID-19 Verdachtsfällen </w:t>
      </w:r>
      <w:r w:rsidR="00AD519D" w:rsidRPr="00441972">
        <w:t>/</w:t>
      </w:r>
      <w:r w:rsidRPr="00441972">
        <w:t xml:space="preserve"> Fällen</w:t>
      </w:r>
      <w:r w:rsidR="00AD519D" w:rsidRPr="00441972">
        <w:t xml:space="preserve"> und anderen </w:t>
      </w:r>
      <w:r w:rsidR="00C6636F" w:rsidRPr="00441972">
        <w:t xml:space="preserve">Patienten </w:t>
      </w:r>
      <w:r w:rsidR="0046786E" w:rsidRPr="0046786E">
        <w:t>im ambulanten und prästationären Bereich</w:t>
      </w:r>
      <w:r w:rsidRPr="00441972">
        <w:t xml:space="preserve">, </w:t>
      </w:r>
      <w:r w:rsidRPr="00441972">
        <w:br/>
      </w:r>
    </w:p>
    <w:p w:rsidR="007978F6" w:rsidRDefault="007978F6" w:rsidP="00166237">
      <w:pPr>
        <w:pStyle w:val="berschrift2"/>
      </w:pPr>
      <w:r w:rsidRPr="00233971">
        <w:t>Hintergrund</w:t>
      </w:r>
    </w:p>
    <w:p w:rsidR="005102F9" w:rsidRDefault="007978F6" w:rsidP="006F7844">
      <w:pPr>
        <w:jc w:val="both"/>
      </w:pPr>
      <w:r w:rsidRPr="007978F6">
        <w:t xml:space="preserve">Nosokomiale Infektionen und Infektionen von </w:t>
      </w:r>
      <w:r w:rsidR="003D58F6">
        <w:t xml:space="preserve">Mitarbeiterinnen und </w:t>
      </w:r>
      <w:r w:rsidR="00C6636F">
        <w:t>Mitarbeitern im</w:t>
      </w:r>
      <w:r>
        <w:t xml:space="preserve"> Gesundheitswesen</w:t>
      </w:r>
      <w:r w:rsidRPr="007978F6">
        <w:t xml:space="preserve"> (</w:t>
      </w:r>
      <w:r w:rsidR="00240039">
        <w:t xml:space="preserve">international gebräuchlich: </w:t>
      </w:r>
      <w:proofErr w:type="spellStart"/>
      <w:r w:rsidR="00644C1D">
        <w:t>health</w:t>
      </w:r>
      <w:proofErr w:type="spellEnd"/>
      <w:r w:rsidR="00644C1D">
        <w:t xml:space="preserve"> care </w:t>
      </w:r>
      <w:proofErr w:type="spellStart"/>
      <w:r w:rsidR="00644C1D">
        <w:t>worker</w:t>
      </w:r>
      <w:proofErr w:type="spellEnd"/>
      <w:r w:rsidR="00644C1D">
        <w:t xml:space="preserve">; </w:t>
      </w:r>
      <w:r w:rsidRPr="007978F6">
        <w:t xml:space="preserve">HCW) stellen eine besondere Herausforderung in großen Ausbrüchen wie </w:t>
      </w:r>
      <w:r>
        <w:t>SARS-CoV-2</w:t>
      </w:r>
      <w:r w:rsidRPr="007978F6">
        <w:t xml:space="preserve"> dar. </w:t>
      </w:r>
      <w:r w:rsidR="00E14D67">
        <w:t>Krankenhausübertragungen und -</w:t>
      </w:r>
      <w:r w:rsidR="0071058F">
        <w:t>aus</w:t>
      </w:r>
      <w:r w:rsidR="00E14D67">
        <w:t>brüche spiel</w:t>
      </w:r>
      <w:r w:rsidR="0071058F">
        <w:t>t</w:t>
      </w:r>
      <w:r w:rsidR="00E14D67">
        <w:t>en bei SARS und MERS und auch zu Beginn in China sowie aktuell in vielen anderen Ländern bei SARS-CoV-2</w:t>
      </w:r>
      <w:r w:rsidR="00E14D67" w:rsidRPr="007978F6">
        <w:t xml:space="preserve"> </w:t>
      </w:r>
      <w:r w:rsidR="00E14D67">
        <w:t xml:space="preserve">eine sehr große Rolle. </w:t>
      </w:r>
      <w:r w:rsidR="00C6636F">
        <w:t xml:space="preserve">Insbesondere </w:t>
      </w:r>
      <w:r w:rsidRPr="007978F6">
        <w:t xml:space="preserve">HCW </w:t>
      </w:r>
      <w:r w:rsidR="00C71971">
        <w:t xml:space="preserve">und </w:t>
      </w:r>
      <w:r w:rsidR="00C6636F">
        <w:t xml:space="preserve">Patienten </w:t>
      </w:r>
      <w:r>
        <w:t xml:space="preserve">müssen vor einer </w:t>
      </w:r>
      <w:r w:rsidR="00C71971">
        <w:t xml:space="preserve">Transmission und </w:t>
      </w:r>
      <w:r>
        <w:t>Infektion geschützt werden</w:t>
      </w:r>
      <w:r w:rsidRPr="007978F6">
        <w:t xml:space="preserve">, da </w:t>
      </w:r>
      <w:r>
        <w:t xml:space="preserve">infizierte HCW in der Krankenversorgung fehlen und SARS-CoV-2 auf nicht infizierte </w:t>
      </w:r>
      <w:r w:rsidR="00C6636F">
        <w:t xml:space="preserve">Patienten und Patientinnen </w:t>
      </w:r>
      <w:r>
        <w:t>übertragen können</w:t>
      </w:r>
      <w:r w:rsidRPr="007978F6">
        <w:t xml:space="preserve">. </w:t>
      </w:r>
      <w:r w:rsidR="00233971">
        <w:t xml:space="preserve">Bei </w:t>
      </w:r>
      <w:r w:rsidR="00C6636F">
        <w:t xml:space="preserve">Patienten </w:t>
      </w:r>
      <w:r w:rsidR="00233971">
        <w:t xml:space="preserve">ist </w:t>
      </w:r>
      <w:r w:rsidR="00D772F6">
        <w:t xml:space="preserve">bei </w:t>
      </w:r>
      <w:r w:rsidR="00233971">
        <w:t xml:space="preserve">höherem Durchschnittsalter und Grunderkrankungen mit besonders schweren Krankheitsverläufen zu rechnen, weshalb </w:t>
      </w:r>
      <w:r w:rsidR="00A02BEB">
        <w:t>diese</w:t>
      </w:r>
      <w:r w:rsidR="00233971">
        <w:t xml:space="preserve"> besonders vor Infektionen geschützt werden müssen</w:t>
      </w:r>
      <w:r w:rsidR="00EB08AA">
        <w:t xml:space="preserve"> (siehe „</w:t>
      </w:r>
      <w:r w:rsidR="00EB08AA" w:rsidRPr="00EB08AA">
        <w:t>Informationen und Hilfestellungen für Personen mit einem höheren Risiko für einen schweren COVID-19-Krankheitsverlauf</w:t>
      </w:r>
      <w:r w:rsidR="00EB08AA">
        <w:t xml:space="preserve">“ </w:t>
      </w:r>
      <w:hyperlink r:id="rId9" w:history="1">
        <w:r w:rsidR="00EB08AA" w:rsidRPr="003061B5">
          <w:rPr>
            <w:rStyle w:val="Hyperlink"/>
          </w:rPr>
          <w:t>https://www.rki.de/DE/Content/InfAZ/N/Neuartiges_Coronavirus/Risikogruppen.html</w:t>
        </w:r>
      </w:hyperlink>
      <w:r w:rsidR="00EB08AA">
        <w:t xml:space="preserve"> )</w:t>
      </w:r>
      <w:r w:rsidR="00233971">
        <w:t xml:space="preserve">. </w:t>
      </w:r>
    </w:p>
    <w:p w:rsidR="00CB295C" w:rsidRPr="006F7844" w:rsidRDefault="00CB295C" w:rsidP="006F7844">
      <w:pPr>
        <w:jc w:val="both"/>
      </w:pPr>
    </w:p>
    <w:p w:rsidR="00456393" w:rsidRPr="00441972" w:rsidRDefault="00456393" w:rsidP="00441972">
      <w:pPr>
        <w:pStyle w:val="berschrift2"/>
      </w:pPr>
      <w:r w:rsidRPr="00441972">
        <w:rPr>
          <w:rStyle w:val="berschrift2Zchn"/>
          <w:b/>
          <w:bCs/>
        </w:rPr>
        <w:t>Vorbemerkungen:</w:t>
      </w:r>
    </w:p>
    <w:p w:rsidR="00D30185" w:rsidRDefault="00632566" w:rsidP="00D30185">
      <w:pPr>
        <w:autoSpaceDE w:val="0"/>
        <w:autoSpaceDN w:val="0"/>
        <w:adjustRightInd w:val="0"/>
        <w:jc w:val="both"/>
      </w:pPr>
      <w:r w:rsidRPr="0001352D">
        <w:t>Grundsätzlich sollten</w:t>
      </w:r>
      <w:r w:rsidR="00466AAC" w:rsidRPr="0001352D">
        <w:t xml:space="preserve"> die Empfehlungen des Robert Koch-Institutes für </w:t>
      </w:r>
      <w:r w:rsidR="00010337">
        <w:t xml:space="preserve">die Diagnostik sowie </w:t>
      </w:r>
      <w:r w:rsidR="00466AAC" w:rsidRPr="0001352D">
        <w:t>die Hygienemaßnahmen und Infektionskontrolle bei Patienten mit bestätigter Infektion durch SARS-CoV-2</w:t>
      </w:r>
      <w:r w:rsidR="00466AAC" w:rsidRPr="0001352D" w:rsidDel="00D80567">
        <w:t xml:space="preserve"> </w:t>
      </w:r>
      <w:r w:rsidRPr="0001352D">
        <w:t>berücksichtigt werden</w:t>
      </w:r>
      <w:r w:rsidR="00DA41E0" w:rsidRPr="0001352D">
        <w:t xml:space="preserve"> </w:t>
      </w:r>
    </w:p>
    <w:p w:rsidR="00456393" w:rsidRDefault="00DA41E0" w:rsidP="00D30185">
      <w:pPr>
        <w:autoSpaceDE w:val="0"/>
        <w:autoSpaceDN w:val="0"/>
        <w:adjustRightInd w:val="0"/>
        <w:jc w:val="both"/>
      </w:pPr>
      <w:r w:rsidRPr="0001352D">
        <w:t>(</w:t>
      </w:r>
      <w:hyperlink r:id="rId10" w:history="1">
        <w:r w:rsidR="001155BA" w:rsidRPr="00D30185">
          <w:rPr>
            <w:rStyle w:val="Hyperlink"/>
          </w:rPr>
          <w:t>https://www.rki.de/DE/Content/InfAZ/N/Neuartiges_Coronavirus/nCoV.html</w:t>
        </w:r>
      </w:hyperlink>
      <w:r w:rsidR="00D30185" w:rsidRPr="00D30185">
        <w:rPr>
          <w:rStyle w:val="Hyperlink"/>
        </w:rPr>
        <w:t xml:space="preserve"> </w:t>
      </w:r>
      <w:r w:rsidRPr="0001352D">
        <w:t>)</w:t>
      </w:r>
      <w:r w:rsidR="00632566" w:rsidRPr="0001352D">
        <w:t>. Auf Grund des bestehenden Mangels an Schutzausrüstung wurde</w:t>
      </w:r>
      <w:r w:rsidRPr="0001352D">
        <w:t xml:space="preserve"> zudem</w:t>
      </w:r>
      <w:r w:rsidR="00632566" w:rsidRPr="0001352D">
        <w:t xml:space="preserve"> ein Dokument zu „Mögliche Maßnahmen zum Ressourcen-schonenden Einsatz von Mund-Nasen-Schutz (MNS) und FFP-Masken in Einrichtungen des Gesundheitswesens bei Lieferengpässen im Zusammenhang</w:t>
      </w:r>
      <w:r w:rsidR="00C70EDC">
        <w:t xml:space="preserve"> </w:t>
      </w:r>
      <w:r w:rsidR="00632566" w:rsidRPr="0001352D">
        <w:t>mit der neuartigen</w:t>
      </w:r>
      <w:r w:rsidR="00C70EDC">
        <w:t xml:space="preserve"> </w:t>
      </w:r>
      <w:proofErr w:type="spellStart"/>
      <w:r w:rsidR="00632566" w:rsidRPr="0001352D">
        <w:t>Coronavirus</w:t>
      </w:r>
      <w:proofErr w:type="spellEnd"/>
      <w:r w:rsidR="00632566" w:rsidRPr="0001352D">
        <w:t xml:space="preserve">-Erkrankung COVID-19“ erstellt </w:t>
      </w:r>
    </w:p>
    <w:p w:rsidR="004756F5" w:rsidRPr="00CB295C" w:rsidRDefault="00632566" w:rsidP="00CB295C">
      <w:pPr>
        <w:autoSpaceDE w:val="0"/>
        <w:autoSpaceDN w:val="0"/>
        <w:adjustRightInd w:val="0"/>
        <w:jc w:val="both"/>
      </w:pPr>
      <w:r w:rsidRPr="0001352D">
        <w:t>(</w:t>
      </w:r>
      <w:hyperlink r:id="rId11" w:history="1">
        <w:r w:rsidRPr="00D30185">
          <w:rPr>
            <w:rStyle w:val="Hyperlink"/>
          </w:rPr>
          <w:t>https://www.rki.de/DE/Content/InfAZ/N/Neuartiges_Coronavirus/Ressourcen_schonen_Masken.pdf?__blob=publicationFile</w:t>
        </w:r>
      </w:hyperlink>
      <w:r w:rsidR="00D30185">
        <w:t xml:space="preserve"> </w:t>
      </w:r>
      <w:r w:rsidRPr="0001352D">
        <w:t>)</w:t>
      </w:r>
      <w:r w:rsidR="00456393">
        <w:t>.</w:t>
      </w:r>
      <w:r w:rsidR="00466AAC" w:rsidRPr="0001352D">
        <w:t xml:space="preserve"> </w:t>
      </w:r>
    </w:p>
    <w:p w:rsidR="00644C1D" w:rsidRDefault="00644C1D" w:rsidP="00644C1D">
      <w:pPr>
        <w:rPr>
          <w:rFonts w:eastAsiaTheme="majorEastAsia"/>
          <w:b/>
        </w:rPr>
      </w:pPr>
      <w:r>
        <w:rPr>
          <w:rFonts w:eastAsiaTheme="majorEastAsia"/>
          <w:b/>
        </w:rPr>
        <w:t>Die folgenden Hinweise sind jeweils an die lokale Situation und den Ausbruchsverlauf anzupassen.</w:t>
      </w:r>
    </w:p>
    <w:p w:rsidR="00CB295C" w:rsidRPr="007978F6" w:rsidRDefault="00CB295C" w:rsidP="00644C1D">
      <w:pPr>
        <w:rPr>
          <w:rFonts w:eastAsiaTheme="majorEastAsia"/>
          <w:b/>
        </w:rPr>
      </w:pPr>
    </w:p>
    <w:p w:rsidR="00891D53" w:rsidRPr="00891D53" w:rsidRDefault="001D2EC2" w:rsidP="00166237">
      <w:pPr>
        <w:pStyle w:val="berschrift2"/>
      </w:pPr>
      <w:r>
        <w:t xml:space="preserve">Optionen zum </w:t>
      </w:r>
      <w:r w:rsidR="00E26B00">
        <w:t>Management von Patienten im ambulanten und prästationären Bereich</w:t>
      </w:r>
    </w:p>
    <w:p w:rsidR="00456393" w:rsidRDefault="00891D53" w:rsidP="00456393">
      <w:pPr>
        <w:jc w:val="both"/>
      </w:pPr>
      <w:r>
        <w:t>Ziel muss es sein</w:t>
      </w:r>
      <w:r w:rsidR="00C71971">
        <w:t>,</w:t>
      </w:r>
      <w:r>
        <w:t xml:space="preserve"> </w:t>
      </w:r>
      <w:r w:rsidR="00240039">
        <w:t xml:space="preserve">symptomatische </w:t>
      </w:r>
      <w:r w:rsidR="00C71971">
        <w:t xml:space="preserve">Verdachtsfälle wie </w:t>
      </w:r>
      <w:r>
        <w:t xml:space="preserve">Kontaktpersonen von Fällen und Personen </w:t>
      </w:r>
      <w:r w:rsidR="00C71971">
        <w:t xml:space="preserve">mit </w:t>
      </w:r>
      <w:r w:rsidR="00677413">
        <w:t xml:space="preserve">erhöhtem Erkrankungsrisiko (z.B. </w:t>
      </w:r>
      <w:r w:rsidR="00CB4281">
        <w:t>Reisea</w:t>
      </w:r>
      <w:r w:rsidR="00C71971">
        <w:t>namnese</w:t>
      </w:r>
      <w:r w:rsidR="00677413">
        <w:t>)</w:t>
      </w:r>
      <w:r w:rsidR="00C71971">
        <w:t xml:space="preserve"> </w:t>
      </w:r>
      <w:r w:rsidR="0067741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sofort häuslich zu </w:t>
      </w:r>
      <w:proofErr w:type="spellStart"/>
      <w:r w:rsidR="0067741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quarantänisieren</w:t>
      </w:r>
      <w:proofErr w:type="spellEnd"/>
      <w:r w:rsidR="0067741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</w:t>
      </w:r>
      <w:r w:rsidR="00677413" w:rsidRPr="00183C1A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schnellstmöglich zu testen. </w:t>
      </w:r>
      <w:r>
        <w:t xml:space="preserve">Dabei muss eine Infektion von HCW und nicht infizierten </w:t>
      </w:r>
      <w:r w:rsidR="00C6636F">
        <w:t xml:space="preserve">Patienten </w:t>
      </w:r>
      <w:r>
        <w:t xml:space="preserve">im Gesundheitswesen unbedingt vermieden werden. </w:t>
      </w:r>
      <w:r w:rsidR="00E60E22">
        <w:t>Entsprechend sollten</w:t>
      </w:r>
      <w:r w:rsidR="00010337">
        <w:t xml:space="preserve"> nach Möglichkeit</w:t>
      </w:r>
      <w:r w:rsidR="00E60E22">
        <w:t xml:space="preserve"> im ambulanten und prästationären Bereich Testungen getrennt </w:t>
      </w:r>
      <w:r w:rsidR="00677413">
        <w:t xml:space="preserve">und </w:t>
      </w:r>
      <w:r w:rsidR="0067741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möglichst vor einer weiteren </w:t>
      </w:r>
      <w:r w:rsidR="00677413" w:rsidRPr="00183C1A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Patientenversorgung</w:t>
      </w:r>
      <w:r w:rsidR="00E96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/ Behandlung</w:t>
      </w:r>
      <w:r w:rsidR="00677413" w:rsidRPr="00183C1A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erfolgen.</w:t>
      </w:r>
      <w:r w:rsidR="00E60E22">
        <w:t xml:space="preserve"> </w:t>
      </w:r>
      <w:r w:rsidR="00456393" w:rsidRPr="006F7844">
        <w:t>Die Testungen sollten</w:t>
      </w:r>
      <w:r w:rsidR="008F20C1" w:rsidRPr="00075333">
        <w:t xml:space="preserve"> </w:t>
      </w:r>
      <w:r w:rsidR="006F7844" w:rsidRPr="00CB295C">
        <w:t>bevorzugt</w:t>
      </w:r>
      <w:r w:rsidR="00456393" w:rsidRPr="006F7844">
        <w:t xml:space="preserve"> </w:t>
      </w:r>
      <w:r w:rsidR="00677413" w:rsidRPr="0007533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in hierfür ausgewiesene Einrichtungen </w:t>
      </w:r>
      <w:r w:rsidR="00677413" w:rsidRPr="00CB295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außerhalb von Arztpraxen oder Ambulanzen </w:t>
      </w:r>
      <w:r w:rsidR="00677413" w:rsidRPr="00CB295C">
        <w:t>durchgeführt</w:t>
      </w:r>
      <w:r w:rsidR="00456393" w:rsidRPr="00CB295C">
        <w:t xml:space="preserve"> werden, die eine Trennung von </w:t>
      </w:r>
      <w:r w:rsidR="00010337" w:rsidRPr="00CB295C">
        <w:t xml:space="preserve">Patienten mit respiratorischen Symptomen </w:t>
      </w:r>
      <w:r w:rsidR="00456393" w:rsidRPr="00CB295C">
        <w:t xml:space="preserve">und anderen Patienten </w:t>
      </w:r>
      <w:r w:rsidR="00677413" w:rsidRPr="00CB295C">
        <w:t>sicherstellen</w:t>
      </w:r>
      <w:r w:rsidR="00456393" w:rsidRPr="00CB295C">
        <w:t>, um die regulären Versorgungsstrukturen aufrecht erhalten zu können.</w:t>
      </w:r>
      <w:r w:rsidR="00456393">
        <w:t xml:space="preserve"> </w:t>
      </w:r>
    </w:p>
    <w:p w:rsidR="00891D53" w:rsidRDefault="00891D53" w:rsidP="0064717A">
      <w:pPr>
        <w:pStyle w:val="berschrift3"/>
      </w:pPr>
      <w:r w:rsidRPr="005102F9">
        <w:t xml:space="preserve">Folgende Strukturen </w:t>
      </w:r>
      <w:r w:rsidR="00AC0AFD">
        <w:t xml:space="preserve">erscheinen für </w:t>
      </w:r>
      <w:r w:rsidR="0064717A">
        <w:t xml:space="preserve">die Testung </w:t>
      </w:r>
      <w:r w:rsidR="00AC0AFD">
        <w:t xml:space="preserve">grundsätzlich als sinnvoll </w:t>
      </w:r>
    </w:p>
    <w:p w:rsidR="00891D53" w:rsidRDefault="006F7844" w:rsidP="00010337">
      <w:pPr>
        <w:pStyle w:val="Listenabsatz"/>
        <w:numPr>
          <w:ilvl w:val="0"/>
          <w:numId w:val="2"/>
        </w:numPr>
        <w:jc w:val="both"/>
      </w:pPr>
      <w:r>
        <w:rPr>
          <w:b/>
        </w:rPr>
        <w:t xml:space="preserve">Testzentren (z.B. </w:t>
      </w:r>
      <w:r w:rsidR="00891D53" w:rsidRPr="00010337">
        <w:rPr>
          <w:b/>
        </w:rPr>
        <w:t>Zelte oder Container</w:t>
      </w:r>
      <w:r>
        <w:rPr>
          <w:b/>
        </w:rPr>
        <w:t>)</w:t>
      </w:r>
      <w:r w:rsidR="00891D53" w:rsidRPr="00010337">
        <w:rPr>
          <w:b/>
        </w:rPr>
        <w:t xml:space="preserve"> zur SARS-CoV-2 Testung</w:t>
      </w:r>
      <w:r w:rsidR="00891D53">
        <w:t xml:space="preserve"> </w:t>
      </w:r>
      <w:r w:rsidR="00240039">
        <w:t xml:space="preserve">auf dem Gelände von </w:t>
      </w:r>
      <w:r w:rsidR="00C71971">
        <w:t xml:space="preserve">oder in </w:t>
      </w:r>
      <w:r w:rsidR="000F7C3F">
        <w:t xml:space="preserve">der </w:t>
      </w:r>
      <w:r w:rsidR="00C71971">
        <w:t xml:space="preserve">Nähe von </w:t>
      </w:r>
      <w:r w:rsidR="00891D53">
        <w:t xml:space="preserve">Krankenhäusern und Gesundheitsämtern </w:t>
      </w:r>
      <w:r w:rsidR="00C70EDC" w:rsidRPr="00010337">
        <w:rPr>
          <w:b/>
        </w:rPr>
        <w:t>Zusätzliche a</w:t>
      </w:r>
      <w:r w:rsidR="00891D53" w:rsidRPr="00010337">
        <w:rPr>
          <w:b/>
        </w:rPr>
        <w:t>mbulante Testmöglichkeiten in Wohnortnähe</w:t>
      </w:r>
      <w:r w:rsidR="00891D53">
        <w:t>, außerhalb von Arztpraxen</w:t>
      </w:r>
    </w:p>
    <w:p w:rsidR="00E60E22" w:rsidRDefault="00C71971" w:rsidP="00F57457">
      <w:pPr>
        <w:pStyle w:val="Listenabsatz"/>
        <w:numPr>
          <w:ilvl w:val="0"/>
          <w:numId w:val="2"/>
        </w:numPr>
        <w:jc w:val="both"/>
      </w:pPr>
      <w:r w:rsidRPr="00E7599F">
        <w:rPr>
          <w:b/>
        </w:rPr>
        <w:t>Ggf. ergänzt durch a</w:t>
      </w:r>
      <w:r w:rsidR="00891D53" w:rsidRPr="00E7599F">
        <w:rPr>
          <w:b/>
        </w:rPr>
        <w:t>ufsuchende</w:t>
      </w:r>
      <w:r w:rsidR="007D1DE3">
        <w:rPr>
          <w:b/>
        </w:rPr>
        <w:t>s</w:t>
      </w:r>
      <w:r w:rsidR="00891D53" w:rsidRPr="00E7599F">
        <w:rPr>
          <w:b/>
        </w:rPr>
        <w:t xml:space="preserve"> Testen durch </w:t>
      </w:r>
      <w:r w:rsidR="00CB4281" w:rsidRPr="00E7599F">
        <w:rPr>
          <w:b/>
        </w:rPr>
        <w:t xml:space="preserve">mobile </w:t>
      </w:r>
      <w:r w:rsidR="004D3BC4" w:rsidRPr="00E7599F">
        <w:rPr>
          <w:b/>
        </w:rPr>
        <w:t>Teams</w:t>
      </w:r>
      <w:r w:rsidR="00891D53">
        <w:t xml:space="preserve"> (Vorteil, dass Patienten das häusliche Umfeld nicht verlassen</w:t>
      </w:r>
      <w:r w:rsidR="004D3BC4">
        <w:t xml:space="preserve"> müssen</w:t>
      </w:r>
      <w:r w:rsidR="00891D53">
        <w:t>).</w:t>
      </w:r>
    </w:p>
    <w:p w:rsidR="0064717A" w:rsidRDefault="00240039" w:rsidP="00E14D67">
      <w:pPr>
        <w:jc w:val="both"/>
      </w:pPr>
      <w:r>
        <w:t xml:space="preserve">Es sollen nur symptomatische Patienten getestet werden. </w:t>
      </w:r>
      <w:r w:rsidR="0064717A">
        <w:t xml:space="preserve">Die Zeit zwischen Testung und Befundübermittlung </w:t>
      </w:r>
      <w:r w:rsidR="00DA7904">
        <w:t>(</w:t>
      </w:r>
      <w:r w:rsidR="00DA7904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ggf. bei positivem Nachweis auch direkt an den Patienten) </w:t>
      </w:r>
      <w:r w:rsidR="0064717A">
        <w:t xml:space="preserve">sollte möglichst kurz sein, hier ist insbesondere auch auf eine entsprechende Logistik (zügiger Transport </w:t>
      </w:r>
      <w:r w:rsidR="0064717A" w:rsidRPr="0001352D">
        <w:t>der Probe ins Labor) zu achten.</w:t>
      </w:r>
      <w:r w:rsidR="00E14D67">
        <w:t xml:space="preserve"> </w:t>
      </w:r>
      <w:r w:rsidR="0064717A" w:rsidRPr="0001352D">
        <w:t xml:space="preserve">Die Indikation für die Testung sollte dokumentiert werden, auch damit bei begrenzten Kapazitäten </w:t>
      </w:r>
      <w:r w:rsidR="0064717A">
        <w:t xml:space="preserve">gegebenenfalls </w:t>
      </w:r>
      <w:r w:rsidR="0064717A" w:rsidRPr="0001352D">
        <w:t>eine Priorisierung erfolgen kann.</w:t>
      </w:r>
    </w:p>
    <w:p w:rsidR="0064717A" w:rsidRDefault="0064717A" w:rsidP="0064717A">
      <w:pPr>
        <w:pStyle w:val="berschrift3"/>
      </w:pPr>
      <w:r>
        <w:t>Folgende Strukturen erscheinen für die Patientenversorgung sinnvoll</w:t>
      </w:r>
    </w:p>
    <w:p w:rsidR="0064717A" w:rsidRDefault="00010337" w:rsidP="00E26B00">
      <w:pPr>
        <w:jc w:val="both"/>
      </w:pPr>
      <w:r>
        <w:rPr>
          <w:b/>
        </w:rPr>
        <w:t>„</w:t>
      </w:r>
      <w:r w:rsidR="00DA7904">
        <w:rPr>
          <w:rFonts w:ascii="Arial" w:eastAsia="Times New Roman" w:hAnsi="Arial" w:cs="Arial"/>
          <w:b/>
          <w:bCs/>
          <w:color w:val="323232"/>
          <w:sz w:val="20"/>
          <w:szCs w:val="20"/>
          <w:bdr w:val="none" w:sz="0" w:space="0" w:color="auto" w:frame="1"/>
          <w:lang w:eastAsia="de-DE"/>
        </w:rPr>
        <w:t>COVID-19-Ambulanzen</w:t>
      </w:r>
      <w:r>
        <w:rPr>
          <w:b/>
        </w:rPr>
        <w:t>“</w:t>
      </w:r>
      <w:r w:rsidR="00E26B00" w:rsidRPr="00E26B00">
        <w:rPr>
          <w:b/>
        </w:rPr>
        <w:t>:</w:t>
      </w:r>
      <w:r w:rsidR="00E26B00">
        <w:t xml:space="preserve"> </w:t>
      </w:r>
      <w:r w:rsidR="0064717A">
        <w:t xml:space="preserve">Verbesserter Infektionsschutz im prästationären Bereich durch Aufbau von </w:t>
      </w:r>
      <w:r w:rsidRPr="00D30185">
        <w:t>„</w:t>
      </w:r>
      <w:r w:rsidR="00DA7904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COVID-19-Ambulanzen</w:t>
      </w:r>
      <w:r w:rsidRPr="00D30185">
        <w:t>“</w:t>
      </w:r>
      <w:r>
        <w:t xml:space="preserve"> </w:t>
      </w:r>
      <w:r w:rsidR="00467427">
        <w:t xml:space="preserve">zur Versorgung von Patienten mit respiratorischen Infektionen </w:t>
      </w:r>
      <w:r w:rsidR="0064717A">
        <w:t xml:space="preserve">in </w:t>
      </w:r>
      <w:r w:rsidR="00CB08E0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besonders ausgewiesenen Arzt- oder Bereitschaftspraxen </w:t>
      </w:r>
      <w:r w:rsidR="0064717A">
        <w:t xml:space="preserve">oder in der Nähe von Krankenhäusern (ggf. analog auch </w:t>
      </w:r>
      <w:r w:rsidR="00CB08E0">
        <w:t xml:space="preserve">in </w:t>
      </w:r>
      <w:r w:rsidR="00C70EDC">
        <w:t>weitere</w:t>
      </w:r>
      <w:r w:rsidR="00CB08E0">
        <w:t>n</w:t>
      </w:r>
      <w:r w:rsidR="00C70EDC">
        <w:t xml:space="preserve"> </w:t>
      </w:r>
      <w:r w:rsidR="0064717A">
        <w:t>Versorgungsstrukturen wie Gesundheitsämter</w:t>
      </w:r>
      <w:r w:rsidR="00CB08E0">
        <w:t>n</w:t>
      </w:r>
      <w:r w:rsidR="0064717A">
        <w:t xml:space="preserve"> oder andere geeignete Einrichtungen)</w:t>
      </w:r>
      <w:r w:rsidR="007E502D">
        <w:t>.</w:t>
      </w:r>
      <w:r w:rsidR="0064717A">
        <w:t xml:space="preserve"> </w:t>
      </w:r>
    </w:p>
    <w:p w:rsidR="0064717A" w:rsidRDefault="0064717A" w:rsidP="00E26B00">
      <w:pPr>
        <w:jc w:val="both"/>
      </w:pPr>
      <w:r>
        <w:t xml:space="preserve">Es ist auf Ebene der Landkreise und </w:t>
      </w:r>
      <w:r w:rsidRPr="00853915">
        <w:t xml:space="preserve">kreisfreien </w:t>
      </w:r>
      <w:r>
        <w:t>Städte je nach örtlichen Gegebenheiten zu prüfen,</w:t>
      </w:r>
      <w:r w:rsidRPr="00853915">
        <w:t xml:space="preserve"> welche Modelle hierzu geeignet sind. </w:t>
      </w:r>
      <w:r>
        <w:t>Beispiele</w:t>
      </w:r>
      <w:r w:rsidRPr="00853915">
        <w:t xml:space="preserve">: </w:t>
      </w:r>
      <w:r>
        <w:t>Nutzung von Bereitschaftspraxis</w:t>
      </w:r>
      <w:r w:rsidR="000C0287">
        <w:t>-</w:t>
      </w:r>
      <w:r>
        <w:t xml:space="preserve">Strukturen; </w:t>
      </w:r>
      <w:r w:rsidRPr="00853915">
        <w:t>Umstellung der bestehenden Bereitschaftsdienst</w:t>
      </w:r>
      <w:r>
        <w:t xml:space="preserve">zentralen der niedergelassenen Kassenärzte zu reinen </w:t>
      </w:r>
      <w:r w:rsidR="00CB08E0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COVID-19-Ambulanzen </w:t>
      </w:r>
      <w:r>
        <w:t xml:space="preserve">und ggf. </w:t>
      </w:r>
      <w:r w:rsidR="007E502D">
        <w:t xml:space="preserve">Weiterleitung </w:t>
      </w:r>
      <w:r>
        <w:t xml:space="preserve">der nicht infektiösen Patienten </w:t>
      </w:r>
      <w:r w:rsidR="007E502D">
        <w:t xml:space="preserve">zu </w:t>
      </w:r>
      <w:r>
        <w:t>Krankenhausambulanzen.</w:t>
      </w:r>
    </w:p>
    <w:p w:rsidR="00CB08E0" w:rsidRDefault="00CB08E0" w:rsidP="00CB08E0">
      <w:pPr>
        <w:jc w:val="both"/>
      </w:pPr>
      <w:r w:rsidRPr="00CB08E0">
        <w:t xml:space="preserve">Bei zeitgleicher Versorgung von COVID-19-positiven Patienten z.B. in großen Ambulanzen </w:t>
      </w:r>
      <w:r w:rsidR="006F7844">
        <w:t xml:space="preserve">ist eine </w:t>
      </w:r>
      <w:r w:rsidRPr="00CB08E0">
        <w:t xml:space="preserve">vollständige </w:t>
      </w:r>
      <w:r w:rsidR="008F20C1">
        <w:t xml:space="preserve">organisatorische </w:t>
      </w:r>
      <w:r w:rsidRPr="00CB08E0">
        <w:t xml:space="preserve">Trennung der Zugangswege und Behandlungsräume für Covid-19 positive oder Covid-19 Verdachtsfälle </w:t>
      </w:r>
      <w:r w:rsidR="008F20C1">
        <w:t>und anderen Patienten</w:t>
      </w:r>
      <w:r w:rsidR="006F7844">
        <w:t xml:space="preserve"> anzustreben</w:t>
      </w:r>
      <w:r>
        <w:t>.</w:t>
      </w:r>
      <w:r w:rsidRPr="00CB08E0">
        <w:t xml:space="preserve"> </w:t>
      </w:r>
    </w:p>
    <w:p w:rsidR="00CB08E0" w:rsidRDefault="00CB08E0" w:rsidP="00CB08E0">
      <w:pPr>
        <w:jc w:val="both"/>
      </w:pPr>
      <w:r w:rsidRPr="00CB08E0">
        <w:t xml:space="preserve">Die Untersuchung auf eine SARS-CoV-2-Infektion sollte in gesonderten Einheiten und </w:t>
      </w:r>
      <w:r>
        <w:t xml:space="preserve">möglichst </w:t>
      </w:r>
      <w:r w:rsidRPr="00CB08E0">
        <w:t xml:space="preserve">vor Aufsuchen einer COVID-19-Ambulanz durchgeführt werden. </w:t>
      </w:r>
    </w:p>
    <w:p w:rsidR="00D30185" w:rsidRDefault="00D30185" w:rsidP="00E26B00">
      <w:pPr>
        <w:jc w:val="both"/>
      </w:pPr>
    </w:p>
    <w:p w:rsidR="007249B0" w:rsidRDefault="0064717A" w:rsidP="00F57457">
      <w:pPr>
        <w:jc w:val="both"/>
      </w:pPr>
      <w:r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Möglichkeiten für v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erbesserte</w:t>
      </w:r>
      <w:r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n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Infektionsschutz durch </w:t>
      </w:r>
      <w:r w:rsidR="00083736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getrennte Versorgung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im Praxisbetrieb </w:t>
      </w:r>
      <w:r w:rsidR="00467427">
        <w:rPr>
          <w:rFonts w:asciiTheme="majorHAnsi" w:eastAsiaTheme="majorEastAsia" w:hAnsiTheme="majorHAnsi" w:cstheme="majorBidi"/>
          <w:b/>
          <w:bCs/>
          <w:color w:val="4F81BD" w:themeColor="accent1"/>
        </w:rPr>
        <w:t>und Möglichkeiten zur Entlastung des ambulanten Sektors</w:t>
      </w:r>
      <w:r w:rsid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467427">
        <w:t>Eine</w:t>
      </w:r>
      <w:r w:rsidR="007249B0">
        <w:t xml:space="preserve"> räumliche und zeitliche Überschneidung der Versorgung von SARS-CoV-2</w:t>
      </w:r>
      <w:r w:rsidR="007249B0" w:rsidRPr="007978F6">
        <w:t xml:space="preserve"> </w:t>
      </w:r>
      <w:r w:rsidR="007249B0">
        <w:t xml:space="preserve">Infizierten und nicht Infizierten ist </w:t>
      </w:r>
      <w:r>
        <w:t xml:space="preserve">auch hier </w:t>
      </w:r>
      <w:r w:rsidR="007249B0">
        <w:t>zu vermeiden</w:t>
      </w:r>
      <w:r w:rsidR="00467427">
        <w:t xml:space="preserve"> (siehe auch Hinweise der </w:t>
      </w:r>
      <w:r w:rsidR="00CB08E0">
        <w:t>K</w:t>
      </w:r>
      <w:r w:rsidR="00467427">
        <w:t xml:space="preserve">assenärztlichen Bundesvereinigung (KBV): </w:t>
      </w:r>
      <w:hyperlink r:id="rId12" w:history="1">
        <w:r w:rsidR="00467427" w:rsidRPr="003061B5">
          <w:rPr>
            <w:rStyle w:val="Hyperlink"/>
          </w:rPr>
          <w:t>https://www.kbv.de/html/coronavirus.php</w:t>
        </w:r>
      </w:hyperlink>
      <w:r w:rsidR="00467427">
        <w:t xml:space="preserve"> ): </w:t>
      </w:r>
    </w:p>
    <w:p w:rsidR="00CB08E0" w:rsidRPr="00CB08E0" w:rsidRDefault="00CB08E0" w:rsidP="00CB08E0">
      <w:pPr>
        <w:pStyle w:val="Listenabsatz"/>
        <w:numPr>
          <w:ilvl w:val="0"/>
          <w:numId w:val="15"/>
        </w:numPr>
      </w:pPr>
      <w:r w:rsidRPr="00CB08E0">
        <w:t xml:space="preserve">Ausweisung von insbesondere hausärztlichen und </w:t>
      </w:r>
      <w:proofErr w:type="spellStart"/>
      <w:r w:rsidRPr="00CB08E0">
        <w:t>pulmologischen</w:t>
      </w:r>
      <w:proofErr w:type="spellEnd"/>
      <w:r w:rsidRPr="00CB08E0">
        <w:t xml:space="preserve"> Praxen oder Einrichtungen, die ausschließlich COVID-19-positive Patienten ggf. auch Patienten mit akuten respiratorischen Symptomen und unklarem Infektionsstatus versorgen, in anderen Fachrichtungen </w:t>
      </w:r>
      <w:r w:rsidR="008F20C1">
        <w:t xml:space="preserve">organisatorische z. B. </w:t>
      </w:r>
      <w:r w:rsidRPr="00CB08E0">
        <w:t xml:space="preserve"> zeitliche Trennung (nachmittags) </w:t>
      </w:r>
    </w:p>
    <w:p w:rsidR="007249B0" w:rsidRDefault="006F7844" w:rsidP="00E26B00">
      <w:pPr>
        <w:pStyle w:val="Listenabsatz"/>
        <w:numPr>
          <w:ilvl w:val="0"/>
          <w:numId w:val="15"/>
        </w:numPr>
        <w:jc w:val="both"/>
      </w:pPr>
      <w:r>
        <w:t xml:space="preserve">Zeitliche Trennung: </w:t>
      </w:r>
      <w:r w:rsidR="002677DF">
        <w:t>Beispielsweise v</w:t>
      </w:r>
      <w:r w:rsidR="007249B0">
        <w:t xml:space="preserve">ormittags ausschließlich Versorgung nicht infektiöser </w:t>
      </w:r>
      <w:r w:rsidR="00F73A3D">
        <w:t>Patienten</w:t>
      </w:r>
      <w:r w:rsidR="007249B0">
        <w:t>. Diese Kernzeiten soll</w:t>
      </w:r>
      <w:r w:rsidR="003D58F6">
        <w:t>t</w:t>
      </w:r>
      <w:r w:rsidR="007249B0">
        <w:t xml:space="preserve">en </w:t>
      </w:r>
      <w:r w:rsidR="008F20C1">
        <w:t>regional zwischen den</w:t>
      </w:r>
      <w:r w:rsidR="007249B0">
        <w:t xml:space="preserve"> Praxen </w:t>
      </w:r>
      <w:r w:rsidR="008F20C1">
        <w:t>abgestimmt</w:t>
      </w:r>
      <w:r w:rsidR="007249B0">
        <w:t xml:space="preserve"> sein und über Aushänge, Mitteilungsblätter und in der Presse bekannt gemacht werden. </w:t>
      </w:r>
    </w:p>
    <w:p w:rsidR="00E14D67" w:rsidRDefault="00E7599F" w:rsidP="00E26B00">
      <w:pPr>
        <w:pStyle w:val="Listenabsatz"/>
        <w:numPr>
          <w:ilvl w:val="0"/>
          <w:numId w:val="15"/>
        </w:numPr>
        <w:jc w:val="both"/>
      </w:pPr>
      <w:r w:rsidRPr="0007391F">
        <w:t xml:space="preserve">Die </w:t>
      </w:r>
      <w:r w:rsidR="00632566" w:rsidRPr="0007391F">
        <w:t xml:space="preserve">Arztpraxen </w:t>
      </w:r>
      <w:r w:rsidRPr="0007391F">
        <w:t xml:space="preserve">haben Hygienepläne, diese müssen entsprechend ergänzt werden. Dazu </w:t>
      </w:r>
      <w:r w:rsidR="0027499E" w:rsidRPr="0007391F">
        <w:t>hat das RKI Empfehlungen erstellt: Hinweise zum ambulanten Management von leicht erkrankten bestätigten COVID-19-Patienten</w:t>
      </w:r>
    </w:p>
    <w:p w:rsidR="00E7599F" w:rsidRPr="006D56AE" w:rsidRDefault="0027499E" w:rsidP="00E14D67">
      <w:pPr>
        <w:pStyle w:val="Listenabsatz"/>
        <w:jc w:val="both"/>
      </w:pPr>
      <w:r w:rsidRPr="0007391F">
        <w:t xml:space="preserve"> (</w:t>
      </w:r>
      <w:hyperlink r:id="rId13" w:history="1">
        <w:r w:rsidRPr="0007391F">
          <w:rPr>
            <w:rStyle w:val="Hyperlink"/>
          </w:rPr>
          <w:t>https://www.rki.de/DE/Content/InfAZ/N/Neuartiges_Coronavirus/Hygiene.html</w:t>
        </w:r>
      </w:hyperlink>
      <w:r w:rsidRPr="006D56AE">
        <w:t>)</w:t>
      </w:r>
      <w:r w:rsidR="00E7599F" w:rsidRPr="006D56AE">
        <w:t>.</w:t>
      </w:r>
      <w:r w:rsidR="00D91031" w:rsidRPr="006D56AE">
        <w:t xml:space="preserve"> </w:t>
      </w:r>
    </w:p>
    <w:p w:rsidR="007249B0" w:rsidRDefault="006F7844" w:rsidP="00E26B00">
      <w:pPr>
        <w:pStyle w:val="Listenabsatz"/>
        <w:numPr>
          <w:ilvl w:val="0"/>
          <w:numId w:val="15"/>
        </w:numPr>
        <w:jc w:val="both"/>
      </w:pPr>
      <w:r>
        <w:t xml:space="preserve">Organisatorische/Räumliche Trennung: </w:t>
      </w:r>
      <w:r w:rsidR="007249B0" w:rsidRPr="0007391F">
        <w:t>Möglichkeit zur Rezeptausstellung</w:t>
      </w:r>
      <w:r w:rsidR="007249B0">
        <w:t xml:space="preserve"> und Kommunikation ohne Kontakt zu Tresen und Wartezimmer wenn möglich einrichten.</w:t>
      </w:r>
    </w:p>
    <w:p w:rsidR="0072793F" w:rsidRDefault="00A26752" w:rsidP="00A26752">
      <w:pPr>
        <w:pStyle w:val="Listenabsatz"/>
        <w:numPr>
          <w:ilvl w:val="0"/>
          <w:numId w:val="15"/>
        </w:numPr>
        <w:jc w:val="both"/>
      </w:pPr>
      <w:r>
        <w:t>Für die Behandlung komplexer ambulanter COVID-19 Pat</w:t>
      </w:r>
      <w:r w:rsidR="00E41EDB">
        <w:t>ie</w:t>
      </w:r>
      <w:r>
        <w:t xml:space="preserve">nten </w:t>
      </w:r>
      <w:r w:rsidR="00010337">
        <w:t>z.B. E</w:t>
      </w:r>
      <w:r w:rsidR="0072793F">
        <w:t xml:space="preserve">inrichtung einer </w:t>
      </w:r>
      <w:proofErr w:type="spellStart"/>
      <w:r w:rsidR="0072793F">
        <w:t>pneumologischen</w:t>
      </w:r>
      <w:proofErr w:type="spellEnd"/>
      <w:r w:rsidR="0072793F">
        <w:t xml:space="preserve"> COVID-Sprechstunde an einem Ort, ggf. mit wechselnder Besetzung. Der Ort könnte eine räumlich dafür geeignete Arztpraxis oder Räume in einer Klinik sein.</w:t>
      </w:r>
    </w:p>
    <w:p w:rsidR="007249B0" w:rsidRDefault="007249B0" w:rsidP="00E26B00">
      <w:pPr>
        <w:pStyle w:val="Listenabsatz"/>
        <w:numPr>
          <w:ilvl w:val="0"/>
          <w:numId w:val="15"/>
        </w:numPr>
        <w:jc w:val="both"/>
      </w:pPr>
      <w:r>
        <w:t xml:space="preserve">Zahnärzte </w:t>
      </w:r>
      <w:r w:rsidR="00131761">
        <w:t xml:space="preserve">sollten </w:t>
      </w:r>
      <w:r>
        <w:t xml:space="preserve">ebenfalls eine </w:t>
      </w:r>
      <w:r w:rsidR="000C0287">
        <w:t xml:space="preserve">räumlich und zeitlich </w:t>
      </w:r>
      <w:r>
        <w:t xml:space="preserve">getrennte Akutversorgung von </w:t>
      </w:r>
      <w:r w:rsidR="00C6636F">
        <w:t xml:space="preserve">Patienten </w:t>
      </w:r>
      <w:r>
        <w:t>mit und ohne respiratorische</w:t>
      </w:r>
      <w:r w:rsidR="00E41EDB">
        <w:t>n</w:t>
      </w:r>
      <w:r>
        <w:t xml:space="preserve"> Symptome</w:t>
      </w:r>
      <w:r w:rsidR="00E41EDB">
        <w:t>n</w:t>
      </w:r>
      <w:r>
        <w:t xml:space="preserve"> vorhalten</w:t>
      </w:r>
      <w:r w:rsidR="00131761">
        <w:t xml:space="preserve"> (entsprechende Empfehlungen auch bei BZÄK)</w:t>
      </w:r>
      <w:r>
        <w:t xml:space="preserve">. </w:t>
      </w:r>
    </w:p>
    <w:p w:rsidR="0046786E" w:rsidRPr="0046786E" w:rsidRDefault="0046786E" w:rsidP="0046786E">
      <w:pPr>
        <w:pStyle w:val="Listenabsatz"/>
        <w:numPr>
          <w:ilvl w:val="0"/>
          <w:numId w:val="15"/>
        </w:numPr>
      </w:pPr>
      <w:r w:rsidRPr="0046786E">
        <w:t>Das Angebot der telefonischen und telemedizinischen Beratung und Behandlung, AU- und Rezeptausstellung  sollte wo immer möglich genutzt werden.</w:t>
      </w:r>
    </w:p>
    <w:p w:rsidR="005E45CB" w:rsidRPr="006D56AE" w:rsidRDefault="005E45CB" w:rsidP="00E26B00">
      <w:pPr>
        <w:pStyle w:val="Listenabsatz"/>
        <w:numPr>
          <w:ilvl w:val="0"/>
          <w:numId w:val="15"/>
        </w:numPr>
        <w:jc w:val="both"/>
      </w:pPr>
    </w:p>
    <w:p w:rsidR="00DF53D2" w:rsidRPr="006D56AE" w:rsidRDefault="005E45CB" w:rsidP="00CB295C">
      <w:pPr>
        <w:pStyle w:val="Listenabsatz"/>
        <w:numPr>
          <w:ilvl w:val="0"/>
          <w:numId w:val="15"/>
        </w:numPr>
        <w:jc w:val="both"/>
      </w:pPr>
      <w:r w:rsidRPr="006D56AE">
        <w:t xml:space="preserve">Eine </w:t>
      </w:r>
      <w:r w:rsidR="00E26B00">
        <w:t>Nutzung von und V</w:t>
      </w:r>
      <w:r w:rsidR="006865BF" w:rsidRPr="006D56AE">
        <w:t xml:space="preserve">erweise auf </w:t>
      </w:r>
      <w:r w:rsidR="006865BF" w:rsidRPr="00CB295C">
        <w:rPr>
          <w:b/>
        </w:rPr>
        <w:t>Telefon-Hotlines</w:t>
      </w:r>
      <w:r w:rsidR="00CB10C6" w:rsidRPr="006D56AE">
        <w:t xml:space="preserve"> sollte</w:t>
      </w:r>
      <w:r w:rsidR="000C0287">
        <w:t>,</w:t>
      </w:r>
      <w:r w:rsidR="00CB10C6" w:rsidRPr="006D56AE">
        <w:t xml:space="preserve"> wo immer möglich, </w:t>
      </w:r>
      <w:r w:rsidR="006865BF" w:rsidRPr="006D56AE">
        <w:t>erfolgen</w:t>
      </w:r>
      <w:r w:rsidR="00010337">
        <w:t xml:space="preserve"> (z.B. 116117)</w:t>
      </w:r>
      <w:r w:rsidR="00CB10C6" w:rsidRPr="006D56AE">
        <w:t>.</w:t>
      </w:r>
      <w:r w:rsidR="006865BF" w:rsidRPr="006D56AE">
        <w:t xml:space="preserve"> </w:t>
      </w:r>
    </w:p>
    <w:p w:rsidR="000B33AC" w:rsidRDefault="00E26B00" w:rsidP="00F57457">
      <w:pPr>
        <w:jc w:val="both"/>
      </w:pPr>
      <w:r>
        <w:t>Möglichkeiten</w:t>
      </w:r>
      <w:r w:rsidR="00484491">
        <w:t xml:space="preserve"> zur </w:t>
      </w:r>
      <w:r w:rsidR="007C14A6">
        <w:t xml:space="preserve">vorübergehenden </w:t>
      </w:r>
      <w:r w:rsidR="00AA2746">
        <w:t xml:space="preserve">personellen </w:t>
      </w:r>
      <w:r w:rsidR="007C14A6" w:rsidRPr="00DB03C0">
        <w:rPr>
          <w:b/>
        </w:rPr>
        <w:t>Kapazitätssteigerung</w:t>
      </w:r>
      <w:r w:rsidR="000D268D" w:rsidRPr="00DB03C0">
        <w:rPr>
          <w:b/>
        </w:rPr>
        <w:t xml:space="preserve"> für die Versorgung von NICHT-COVID-19 </w:t>
      </w:r>
      <w:r>
        <w:rPr>
          <w:b/>
        </w:rPr>
        <w:t xml:space="preserve">Patienten </w:t>
      </w:r>
      <w:r w:rsidR="00484491">
        <w:t xml:space="preserve">für </w:t>
      </w:r>
      <w:r w:rsidR="00236762">
        <w:t>eine Situation, in der</w:t>
      </w:r>
      <w:r w:rsidR="007C14A6">
        <w:t xml:space="preserve"> die übliche Versorgung im Rahmen</w:t>
      </w:r>
      <w:r w:rsidR="00484491">
        <w:t xml:space="preserve"> </w:t>
      </w:r>
      <w:r w:rsidR="007C14A6">
        <w:t>des Sicherstellungsauftrages der Kassenärztlichen Vereinigung nicht mehr</w:t>
      </w:r>
      <w:r w:rsidR="00484491">
        <w:t xml:space="preserve"> </w:t>
      </w:r>
      <w:r>
        <w:t>ausreichen könnte</w:t>
      </w:r>
      <w:r w:rsidR="000B33AC">
        <w:t>:</w:t>
      </w:r>
    </w:p>
    <w:p w:rsidR="000B33AC" w:rsidRDefault="000B33AC" w:rsidP="00F57457">
      <w:pPr>
        <w:pStyle w:val="Listenabsatz"/>
        <w:numPr>
          <w:ilvl w:val="0"/>
          <w:numId w:val="16"/>
        </w:numPr>
        <w:jc w:val="both"/>
      </w:pPr>
      <w:r>
        <w:t xml:space="preserve">Entsprechend der Lage Einbindung weiterer Arztgruppen </w:t>
      </w:r>
      <w:r w:rsidR="00AA2746">
        <w:t>(z.B.</w:t>
      </w:r>
      <w:r w:rsidR="00AA2746" w:rsidRPr="00FB164C">
        <w:t>:</w:t>
      </w:r>
      <w:r w:rsidR="00AA2746">
        <w:t xml:space="preserve"> </w:t>
      </w:r>
      <w:r w:rsidR="00AA2746" w:rsidRPr="00FB164C">
        <w:t>Ärzte im Ruhestand und freiwillige M</w:t>
      </w:r>
      <w:r w:rsidR="00AA2746">
        <w:t xml:space="preserve">itglieder der Landesärztekammern, Zeitarbeitsfirmen/Leiharbeitsfirmen, Betriebsärzte, </w:t>
      </w:r>
      <w:r w:rsidR="00AA2746" w:rsidRPr="00FB164C">
        <w:t xml:space="preserve">Ärzte, die in der freien Wirtschaft tätig </w:t>
      </w:r>
      <w:r w:rsidR="00AA2746">
        <w:t xml:space="preserve">sind) </w:t>
      </w:r>
      <w:r>
        <w:t xml:space="preserve">in die Versorgungsverpflichtung </w:t>
      </w:r>
      <w:r w:rsidR="000D268D">
        <w:t xml:space="preserve">von NICHT COVID-19 </w:t>
      </w:r>
      <w:r w:rsidR="00C6636F">
        <w:t xml:space="preserve">Patienten und Patientinnen </w:t>
      </w:r>
    </w:p>
    <w:p w:rsidR="00AA2746" w:rsidRDefault="00AA2746" w:rsidP="00AA2746">
      <w:pPr>
        <w:pStyle w:val="Listenabsatz"/>
        <w:numPr>
          <w:ilvl w:val="0"/>
          <w:numId w:val="16"/>
        </w:numPr>
        <w:jc w:val="both"/>
      </w:pPr>
      <w:r>
        <w:t>Entsprechend der Lage Einbindung weitere</w:t>
      </w:r>
      <w:r w:rsidR="00010337">
        <w:t>n</w:t>
      </w:r>
      <w:r>
        <w:t xml:space="preserve"> pflegerische</w:t>
      </w:r>
      <w:r w:rsidR="00010337">
        <w:t>n</w:t>
      </w:r>
      <w:r>
        <w:t xml:space="preserve"> Personal</w:t>
      </w:r>
      <w:r w:rsidR="00E41EDB">
        <w:t>s</w:t>
      </w:r>
      <w:r>
        <w:t xml:space="preserve"> in die Versorgung von NICHT COVID-19 Patienten und Patientinnen </w:t>
      </w:r>
    </w:p>
    <w:p w:rsidR="00FB164C" w:rsidRDefault="00FB164C" w:rsidP="00F57457">
      <w:pPr>
        <w:pStyle w:val="Listenabsatz"/>
        <w:numPr>
          <w:ilvl w:val="0"/>
          <w:numId w:val="16"/>
        </w:numPr>
        <w:jc w:val="both"/>
      </w:pPr>
      <w:r>
        <w:t xml:space="preserve">Ambulante Ärzte-(Teams) zur </w:t>
      </w:r>
      <w:r w:rsidRPr="00FB164C">
        <w:t>Versorgung von Einrichtungen wie Alten- und Pflegeheimen und sonstigen Gemeinschaftseinrichtungen</w:t>
      </w:r>
      <w:r>
        <w:t xml:space="preserve">, </w:t>
      </w:r>
      <w:r w:rsidRPr="00FB164C">
        <w:t>Unterstü</w:t>
      </w:r>
      <w:r>
        <w:t xml:space="preserve">tzung  von  zugeordneten Arztpraxen bei Hausbesuchen </w:t>
      </w:r>
      <w:r w:rsidRPr="00FB164C">
        <w:t>von Einzelhaushalten</w:t>
      </w:r>
      <w:r>
        <w:t xml:space="preserve">. Wenn möglich durch </w:t>
      </w:r>
      <w:r w:rsidRPr="00FB164C">
        <w:t xml:space="preserve">diese Teams </w:t>
      </w:r>
      <w:r w:rsidR="006F7844">
        <w:t xml:space="preserve">auch die Versorgung mit </w:t>
      </w:r>
      <w:r w:rsidRPr="00FB164C">
        <w:t xml:space="preserve">Medikamenten </w:t>
      </w:r>
      <w:r w:rsidR="006F7844">
        <w:t>organisieren.</w:t>
      </w:r>
      <w:r w:rsidR="006F7844">
        <w:t xml:space="preserve"> </w:t>
      </w:r>
    </w:p>
    <w:p w:rsidR="00940920" w:rsidRDefault="00940920" w:rsidP="00E26B00">
      <w:pPr>
        <w:pStyle w:val="berschrift3"/>
      </w:pPr>
      <w:r w:rsidRPr="00940920">
        <w:rPr>
          <w:noProof/>
          <w:lang w:eastAsia="de-DE"/>
        </w:rPr>
        <w:t>Versorgung von Fällen mit milder Symptomatik</w:t>
      </w:r>
      <w:r w:rsidRPr="00132EEF">
        <w:t xml:space="preserve"> </w:t>
      </w:r>
    </w:p>
    <w:p w:rsidR="0030087B" w:rsidRDefault="00940920" w:rsidP="00F57457">
      <w:pPr>
        <w:jc w:val="both"/>
      </w:pPr>
      <w:r w:rsidRPr="006D56AE">
        <w:t xml:space="preserve">Milde Fälle und COVID-19-Verdachtsfällen sollten im ambulanten </w:t>
      </w:r>
      <w:r w:rsidR="00CB10C6" w:rsidRPr="006D56AE">
        <w:t xml:space="preserve">Bereich </w:t>
      </w:r>
      <w:r w:rsidRPr="006D56AE">
        <w:t xml:space="preserve">und </w:t>
      </w:r>
      <w:r w:rsidR="00174CE1" w:rsidRPr="006D56AE">
        <w:t xml:space="preserve">unter </w:t>
      </w:r>
      <w:r w:rsidRPr="006D56AE">
        <w:t>häuslicher Isolation versorgt werden</w:t>
      </w:r>
      <w:r w:rsidR="00C12B73">
        <w:t xml:space="preserve"> </w:t>
      </w:r>
    </w:p>
    <w:p w:rsidR="007C14A6" w:rsidRPr="006D56AE" w:rsidRDefault="00131761" w:rsidP="00F57457">
      <w:pPr>
        <w:jc w:val="both"/>
      </w:pPr>
      <w:r w:rsidRPr="006D56AE">
        <w:t xml:space="preserve"> (</w:t>
      </w:r>
      <w:hyperlink r:id="rId14" w:history="1">
        <w:r w:rsidR="0030087B" w:rsidRPr="00A20566">
          <w:rPr>
            <w:rStyle w:val="Hyperlink"/>
          </w:rPr>
          <w:t>https://www.rki.de/DE/Content/InfAZ/N/Neuartiges_Coronavirus/ambulant.html</w:t>
        </w:r>
      </w:hyperlink>
      <w:r w:rsidR="0027499E" w:rsidRPr="006D56AE">
        <w:t xml:space="preserve">). </w:t>
      </w:r>
    </w:p>
    <w:p w:rsidR="00891D53" w:rsidRDefault="00891D53" w:rsidP="00CB295C"/>
    <w:sectPr w:rsidR="00891D53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73" w:rsidRDefault="00517373" w:rsidP="003E797B">
      <w:pPr>
        <w:spacing w:after="0" w:line="240" w:lineRule="auto"/>
      </w:pPr>
      <w:r>
        <w:separator/>
      </w:r>
    </w:p>
  </w:endnote>
  <w:endnote w:type="continuationSeparator" w:id="0">
    <w:p w:rsidR="00517373" w:rsidRDefault="00517373" w:rsidP="003E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276936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5102F9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102F9" w:rsidRDefault="005102F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102F9" w:rsidRDefault="005102F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B295C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3E797B" w:rsidRDefault="003E79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73" w:rsidRDefault="00517373" w:rsidP="003E797B">
      <w:pPr>
        <w:spacing w:after="0" w:line="240" w:lineRule="auto"/>
      </w:pPr>
      <w:r>
        <w:separator/>
      </w:r>
    </w:p>
  </w:footnote>
  <w:footnote w:type="continuationSeparator" w:id="0">
    <w:p w:rsidR="00517373" w:rsidRDefault="00517373" w:rsidP="003E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9AE"/>
    <w:multiLevelType w:val="hybridMultilevel"/>
    <w:tmpl w:val="F06C1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8E6"/>
    <w:multiLevelType w:val="hybridMultilevel"/>
    <w:tmpl w:val="19F2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74FF"/>
    <w:multiLevelType w:val="hybridMultilevel"/>
    <w:tmpl w:val="797E5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4C42"/>
    <w:multiLevelType w:val="hybridMultilevel"/>
    <w:tmpl w:val="AA94935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F300E2"/>
    <w:multiLevelType w:val="hybridMultilevel"/>
    <w:tmpl w:val="516C1B4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0F">
      <w:start w:val="1"/>
      <w:numFmt w:val="decimal"/>
      <w:lvlText w:val="%3."/>
      <w:lvlJc w:val="lef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971B18"/>
    <w:multiLevelType w:val="hybridMultilevel"/>
    <w:tmpl w:val="980A3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4AA"/>
    <w:multiLevelType w:val="hybridMultilevel"/>
    <w:tmpl w:val="4AA2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E449F"/>
    <w:multiLevelType w:val="hybridMultilevel"/>
    <w:tmpl w:val="A6AE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7B6D"/>
    <w:multiLevelType w:val="hybridMultilevel"/>
    <w:tmpl w:val="91E0C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14945"/>
    <w:multiLevelType w:val="hybridMultilevel"/>
    <w:tmpl w:val="64ACA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206A2"/>
    <w:multiLevelType w:val="hybridMultilevel"/>
    <w:tmpl w:val="59A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2356"/>
    <w:multiLevelType w:val="hybridMultilevel"/>
    <w:tmpl w:val="946A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E261D"/>
    <w:multiLevelType w:val="hybridMultilevel"/>
    <w:tmpl w:val="B818FB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5167D"/>
    <w:multiLevelType w:val="hybridMultilevel"/>
    <w:tmpl w:val="F55A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06BA2"/>
    <w:multiLevelType w:val="hybridMultilevel"/>
    <w:tmpl w:val="D36A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11769"/>
    <w:multiLevelType w:val="hybridMultilevel"/>
    <w:tmpl w:val="B0763F9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1C3104B"/>
    <w:multiLevelType w:val="hybridMultilevel"/>
    <w:tmpl w:val="68BC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10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QP">
    <w15:presenceInfo w15:providerId="None" w15:userId="DQP"/>
  </w15:person>
  <w15:person w15:author="Mylius Dr., Maren">
    <w15:presenceInfo w15:providerId="None" w15:userId="Mylius Dr., Maren"/>
  </w15:person>
  <w15:person w15:author="Bayer Dr., Christophe -323 BMG">
    <w15:presenceInfo w15:providerId="None" w15:userId="Bayer Dr., Christophe -323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F6"/>
    <w:rsid w:val="00003EA0"/>
    <w:rsid w:val="00010337"/>
    <w:rsid w:val="0001352D"/>
    <w:rsid w:val="00016808"/>
    <w:rsid w:val="00032AA0"/>
    <w:rsid w:val="00072383"/>
    <w:rsid w:val="0007391F"/>
    <w:rsid w:val="00075333"/>
    <w:rsid w:val="0007564B"/>
    <w:rsid w:val="00083736"/>
    <w:rsid w:val="000961F8"/>
    <w:rsid w:val="000B33AC"/>
    <w:rsid w:val="000C0287"/>
    <w:rsid w:val="000C6396"/>
    <w:rsid w:val="000D268D"/>
    <w:rsid w:val="000F7C3F"/>
    <w:rsid w:val="001155BA"/>
    <w:rsid w:val="00131761"/>
    <w:rsid w:val="00132EEF"/>
    <w:rsid w:val="00166237"/>
    <w:rsid w:val="00174CE1"/>
    <w:rsid w:val="00177006"/>
    <w:rsid w:val="001914EC"/>
    <w:rsid w:val="001C6150"/>
    <w:rsid w:val="001D2EC2"/>
    <w:rsid w:val="001E4D0D"/>
    <w:rsid w:val="001E5066"/>
    <w:rsid w:val="001E77E7"/>
    <w:rsid w:val="002231A4"/>
    <w:rsid w:val="00233971"/>
    <w:rsid w:val="00236762"/>
    <w:rsid w:val="00240039"/>
    <w:rsid w:val="00257638"/>
    <w:rsid w:val="00266865"/>
    <w:rsid w:val="002677DF"/>
    <w:rsid w:val="0027499E"/>
    <w:rsid w:val="002A18E6"/>
    <w:rsid w:val="002B4B2B"/>
    <w:rsid w:val="002B5B8C"/>
    <w:rsid w:val="002E1869"/>
    <w:rsid w:val="002E2942"/>
    <w:rsid w:val="0030087B"/>
    <w:rsid w:val="00317EA9"/>
    <w:rsid w:val="00320FAB"/>
    <w:rsid w:val="003230C5"/>
    <w:rsid w:val="00334C2E"/>
    <w:rsid w:val="00357197"/>
    <w:rsid w:val="003616C3"/>
    <w:rsid w:val="00387662"/>
    <w:rsid w:val="003D05B5"/>
    <w:rsid w:val="003D0F64"/>
    <w:rsid w:val="003D58F6"/>
    <w:rsid w:val="003E0394"/>
    <w:rsid w:val="003E797B"/>
    <w:rsid w:val="004055FC"/>
    <w:rsid w:val="00423D0A"/>
    <w:rsid w:val="00441972"/>
    <w:rsid w:val="004524B1"/>
    <w:rsid w:val="004537B7"/>
    <w:rsid w:val="00456393"/>
    <w:rsid w:val="00464D1C"/>
    <w:rsid w:val="00466AAC"/>
    <w:rsid w:val="00467427"/>
    <w:rsid w:val="0046786E"/>
    <w:rsid w:val="004756F5"/>
    <w:rsid w:val="00484491"/>
    <w:rsid w:val="00490639"/>
    <w:rsid w:val="004A04A6"/>
    <w:rsid w:val="004B0CE2"/>
    <w:rsid w:val="004B32B4"/>
    <w:rsid w:val="004B3CE4"/>
    <w:rsid w:val="004D01DD"/>
    <w:rsid w:val="004D3BC4"/>
    <w:rsid w:val="004F74CF"/>
    <w:rsid w:val="005013F8"/>
    <w:rsid w:val="005102F9"/>
    <w:rsid w:val="00517373"/>
    <w:rsid w:val="00561142"/>
    <w:rsid w:val="00575218"/>
    <w:rsid w:val="00582243"/>
    <w:rsid w:val="0058517A"/>
    <w:rsid w:val="005A2675"/>
    <w:rsid w:val="005B6BA8"/>
    <w:rsid w:val="005C4365"/>
    <w:rsid w:val="005C6501"/>
    <w:rsid w:val="005E45CB"/>
    <w:rsid w:val="00632566"/>
    <w:rsid w:val="00644C1D"/>
    <w:rsid w:val="0064717A"/>
    <w:rsid w:val="00657A5B"/>
    <w:rsid w:val="00677413"/>
    <w:rsid w:val="006865BF"/>
    <w:rsid w:val="006C3488"/>
    <w:rsid w:val="006D56AE"/>
    <w:rsid w:val="006E0AA5"/>
    <w:rsid w:val="006F7844"/>
    <w:rsid w:val="0070552D"/>
    <w:rsid w:val="0071058F"/>
    <w:rsid w:val="007236E4"/>
    <w:rsid w:val="007249B0"/>
    <w:rsid w:val="0072793F"/>
    <w:rsid w:val="00730774"/>
    <w:rsid w:val="00746DD8"/>
    <w:rsid w:val="00754297"/>
    <w:rsid w:val="0078577D"/>
    <w:rsid w:val="007978F6"/>
    <w:rsid w:val="007A10B5"/>
    <w:rsid w:val="007A7168"/>
    <w:rsid w:val="007B4BEC"/>
    <w:rsid w:val="007C14A6"/>
    <w:rsid w:val="007D1DE3"/>
    <w:rsid w:val="007E1B20"/>
    <w:rsid w:val="007E502D"/>
    <w:rsid w:val="008044C5"/>
    <w:rsid w:val="0081422E"/>
    <w:rsid w:val="00853915"/>
    <w:rsid w:val="00863AA4"/>
    <w:rsid w:val="00865FB0"/>
    <w:rsid w:val="0087638D"/>
    <w:rsid w:val="00891D53"/>
    <w:rsid w:val="008945F3"/>
    <w:rsid w:val="008A3970"/>
    <w:rsid w:val="008B2227"/>
    <w:rsid w:val="008C6B91"/>
    <w:rsid w:val="008F20C1"/>
    <w:rsid w:val="008F60FA"/>
    <w:rsid w:val="00924D87"/>
    <w:rsid w:val="00940920"/>
    <w:rsid w:val="00963055"/>
    <w:rsid w:val="00996948"/>
    <w:rsid w:val="009B4583"/>
    <w:rsid w:val="009D22EA"/>
    <w:rsid w:val="00A02BEB"/>
    <w:rsid w:val="00A24DEA"/>
    <w:rsid w:val="00A26752"/>
    <w:rsid w:val="00A35D16"/>
    <w:rsid w:val="00A63A0A"/>
    <w:rsid w:val="00A779E3"/>
    <w:rsid w:val="00A90599"/>
    <w:rsid w:val="00AA2746"/>
    <w:rsid w:val="00AC0AFD"/>
    <w:rsid w:val="00AC5B49"/>
    <w:rsid w:val="00AD519D"/>
    <w:rsid w:val="00AD5B09"/>
    <w:rsid w:val="00AE326D"/>
    <w:rsid w:val="00AE5679"/>
    <w:rsid w:val="00B017AF"/>
    <w:rsid w:val="00B90DE4"/>
    <w:rsid w:val="00B96393"/>
    <w:rsid w:val="00BB0903"/>
    <w:rsid w:val="00BD3938"/>
    <w:rsid w:val="00BE1091"/>
    <w:rsid w:val="00BE1D7D"/>
    <w:rsid w:val="00BF4F0A"/>
    <w:rsid w:val="00C12ACB"/>
    <w:rsid w:val="00C12B73"/>
    <w:rsid w:val="00C476BD"/>
    <w:rsid w:val="00C6636F"/>
    <w:rsid w:val="00C70EDC"/>
    <w:rsid w:val="00C7164F"/>
    <w:rsid w:val="00C71971"/>
    <w:rsid w:val="00C722C6"/>
    <w:rsid w:val="00CB08E0"/>
    <w:rsid w:val="00CB0FF3"/>
    <w:rsid w:val="00CB10C6"/>
    <w:rsid w:val="00CB295C"/>
    <w:rsid w:val="00CB4281"/>
    <w:rsid w:val="00CB509B"/>
    <w:rsid w:val="00CF7FD2"/>
    <w:rsid w:val="00D30185"/>
    <w:rsid w:val="00D36F96"/>
    <w:rsid w:val="00D54A38"/>
    <w:rsid w:val="00D65FC3"/>
    <w:rsid w:val="00D74083"/>
    <w:rsid w:val="00D772F6"/>
    <w:rsid w:val="00D80567"/>
    <w:rsid w:val="00D91031"/>
    <w:rsid w:val="00DA41E0"/>
    <w:rsid w:val="00DA7904"/>
    <w:rsid w:val="00DB03C0"/>
    <w:rsid w:val="00DB5ADB"/>
    <w:rsid w:val="00DF53D2"/>
    <w:rsid w:val="00E14D67"/>
    <w:rsid w:val="00E26B00"/>
    <w:rsid w:val="00E41EDB"/>
    <w:rsid w:val="00E45A46"/>
    <w:rsid w:val="00E60E22"/>
    <w:rsid w:val="00E7599F"/>
    <w:rsid w:val="00E968E8"/>
    <w:rsid w:val="00EB08AA"/>
    <w:rsid w:val="00EB2A27"/>
    <w:rsid w:val="00EC1987"/>
    <w:rsid w:val="00ED0258"/>
    <w:rsid w:val="00ED7E07"/>
    <w:rsid w:val="00F416DE"/>
    <w:rsid w:val="00F517AE"/>
    <w:rsid w:val="00F57457"/>
    <w:rsid w:val="00F71B25"/>
    <w:rsid w:val="00F73A3D"/>
    <w:rsid w:val="00F938EB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ki.de/DE/Content/InfAZ/N/Neuartiges_Coronavirus/Hygiene.html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kbv.de/html/coronavirus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AZ/N/Neuartiges_Coronavirus/Ressourcen_schonen_Masken.pdf?__blob=publicationFil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ki.de/DE/Content/InfAZ/N/Neuartiges_Coronavirus/nC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Risikogruppen.html" TargetMode="External"/><Relationship Id="rId14" Type="http://schemas.openxmlformats.org/officeDocument/2006/relationships/hyperlink" Target="https://www.rki.de/DE/Content/InfAZ/N/Neuartiges_Coronavirus/ambulan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7B9B-C240-4DF8-A506-D3638FD0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Haller, Sebastian</dc:creator>
  <cp:lastModifiedBy>Haller, Sebastian</cp:lastModifiedBy>
  <cp:revision>2</cp:revision>
  <cp:lastPrinted>2020-03-12T08:42:00Z</cp:lastPrinted>
  <dcterms:created xsi:type="dcterms:W3CDTF">2020-04-03T10:20:00Z</dcterms:created>
  <dcterms:modified xsi:type="dcterms:W3CDTF">2020-04-03T10:20:00Z</dcterms:modified>
</cp:coreProperties>
</file>