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5D" w:rsidRPr="00F72DE6" w:rsidRDefault="00C3375D" w:rsidP="00C3375D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  <w:szCs w:val="28"/>
        </w:rPr>
      </w:pPr>
      <w:bookmarkStart w:id="0" w:name="_GoBack"/>
      <w:bookmarkEnd w:id="0"/>
      <w:r w:rsidRPr="00F72DE6">
        <w:rPr>
          <w:rFonts w:ascii="Scala Sans OT" w:hAnsi="Scala Sans OT" w:cs="Arial"/>
          <w:color w:val="005EB8"/>
          <w:sz w:val="28"/>
          <w:szCs w:val="28"/>
        </w:rPr>
        <w:t xml:space="preserve">Daten aus der ICD-10-Code basierten SARI-Surveillance des RKI (ICOSARI) </w:t>
      </w:r>
    </w:p>
    <w:p w:rsidR="00C3375D" w:rsidRPr="00894949" w:rsidRDefault="00C3375D" w:rsidP="00C3375D">
      <w:pPr>
        <w:autoSpaceDE w:val="0"/>
        <w:autoSpaceDN w:val="0"/>
        <w:adjustRightInd w:val="0"/>
        <w:rPr>
          <w:rFonts w:ascii="Scala Sans OT" w:hAnsi="Scala Sans OT" w:cs="ScalaSansOT"/>
          <w:sz w:val="22"/>
          <w:szCs w:val="22"/>
        </w:rPr>
      </w:pPr>
      <w:r w:rsidRPr="00F72DE6">
        <w:rPr>
          <w:rFonts w:ascii="Scala Sans OT" w:hAnsi="Scala Sans OT" w:cs="Arial"/>
          <w:sz w:val="22"/>
          <w:szCs w:val="22"/>
        </w:rPr>
        <w:t xml:space="preserve">Im Rahmen der </w:t>
      </w:r>
      <w:r w:rsidRPr="00F72DE6">
        <w:rPr>
          <w:rFonts w:ascii="Scala Sans OT" w:hAnsi="Scala Sans OT" w:cs="Arial"/>
          <w:b/>
          <w:sz w:val="22"/>
          <w:szCs w:val="22"/>
        </w:rPr>
        <w:t>I</w:t>
      </w:r>
      <w:r w:rsidRPr="00F72DE6">
        <w:rPr>
          <w:rFonts w:ascii="Scala Sans OT" w:hAnsi="Scala Sans OT" w:cs="Arial"/>
          <w:sz w:val="22"/>
          <w:szCs w:val="22"/>
        </w:rPr>
        <w:t>CD-10-</w:t>
      </w:r>
      <w:r w:rsidRPr="00F72DE6">
        <w:rPr>
          <w:rFonts w:ascii="Scala Sans OT" w:hAnsi="Scala Sans OT" w:cs="Arial"/>
          <w:b/>
          <w:sz w:val="22"/>
          <w:szCs w:val="22"/>
        </w:rPr>
        <w:t>Co</w:t>
      </w:r>
      <w:r w:rsidRPr="00F72DE6">
        <w:rPr>
          <w:rFonts w:ascii="Scala Sans OT" w:hAnsi="Scala Sans OT" w:cs="Arial"/>
          <w:sz w:val="22"/>
          <w:szCs w:val="22"/>
        </w:rPr>
        <w:t xml:space="preserve">de basierten </w:t>
      </w:r>
      <w:proofErr w:type="spellStart"/>
      <w:r w:rsidRPr="00F72DE6">
        <w:rPr>
          <w:rFonts w:ascii="Scala Sans OT" w:hAnsi="Scala Sans OT" w:cs="Arial"/>
          <w:sz w:val="22"/>
          <w:szCs w:val="22"/>
        </w:rPr>
        <w:t>Krankenhaussurveillance</w:t>
      </w:r>
      <w:proofErr w:type="spellEnd"/>
      <w:r w:rsidRPr="00F72DE6">
        <w:rPr>
          <w:rFonts w:ascii="Scala Sans OT" w:hAnsi="Scala Sans OT" w:cs="Arial"/>
          <w:sz w:val="22"/>
          <w:szCs w:val="22"/>
        </w:rPr>
        <w:t xml:space="preserve"> </w:t>
      </w:r>
      <w:r w:rsidRPr="00F72DE6">
        <w:rPr>
          <w:rFonts w:ascii="Scala Sans OT" w:hAnsi="Scala Sans OT" w:cs="Arial"/>
          <w:b/>
          <w:sz w:val="22"/>
          <w:szCs w:val="22"/>
        </w:rPr>
        <w:t>s</w:t>
      </w:r>
      <w:r w:rsidRPr="00F72DE6">
        <w:rPr>
          <w:rFonts w:ascii="Scala Sans OT" w:hAnsi="Scala Sans OT" w:cs="Arial"/>
          <w:sz w:val="22"/>
          <w:szCs w:val="22"/>
        </w:rPr>
        <w:t xml:space="preserve">chwerer </w:t>
      </w:r>
      <w:r w:rsidRPr="00F72DE6">
        <w:rPr>
          <w:rFonts w:ascii="Scala Sans OT" w:hAnsi="Scala Sans OT" w:cs="Arial"/>
          <w:b/>
          <w:sz w:val="22"/>
          <w:szCs w:val="22"/>
        </w:rPr>
        <w:t>a</w:t>
      </w:r>
      <w:r w:rsidRPr="00F72DE6">
        <w:rPr>
          <w:rFonts w:ascii="Scala Sans OT" w:hAnsi="Scala Sans OT" w:cs="Arial"/>
          <w:sz w:val="22"/>
          <w:szCs w:val="22"/>
        </w:rPr>
        <w:t xml:space="preserve">kuter </w:t>
      </w:r>
      <w:r w:rsidRPr="00F72DE6">
        <w:rPr>
          <w:rFonts w:ascii="Scala Sans OT" w:hAnsi="Scala Sans OT" w:cs="Arial"/>
          <w:b/>
          <w:sz w:val="22"/>
          <w:szCs w:val="22"/>
        </w:rPr>
        <w:t>r</w:t>
      </w:r>
      <w:r w:rsidRPr="00F72DE6">
        <w:rPr>
          <w:rFonts w:ascii="Scala Sans OT" w:hAnsi="Scala Sans OT" w:cs="Arial"/>
          <w:sz w:val="22"/>
          <w:szCs w:val="22"/>
        </w:rPr>
        <w:t xml:space="preserve">espiratorischer </w:t>
      </w:r>
      <w:r w:rsidRPr="00F72DE6">
        <w:rPr>
          <w:rFonts w:ascii="Scala Sans OT" w:hAnsi="Scala Sans OT" w:cs="Arial"/>
          <w:b/>
          <w:sz w:val="22"/>
          <w:szCs w:val="22"/>
        </w:rPr>
        <w:t>I</w:t>
      </w:r>
      <w:r w:rsidRPr="00F72DE6">
        <w:rPr>
          <w:rFonts w:ascii="Scala Sans OT" w:hAnsi="Scala Sans OT" w:cs="Arial"/>
          <w:sz w:val="22"/>
          <w:szCs w:val="22"/>
        </w:rPr>
        <w:t>nfektionen (SARI) lagen validierte Daten bis zur 1</w:t>
      </w:r>
      <w:r w:rsidR="00E9106F">
        <w:rPr>
          <w:rFonts w:ascii="Scala Sans OT" w:hAnsi="Scala Sans OT" w:cs="Arial"/>
          <w:sz w:val="22"/>
          <w:szCs w:val="22"/>
        </w:rPr>
        <w:t>3</w:t>
      </w:r>
      <w:r w:rsidRPr="00F72DE6">
        <w:rPr>
          <w:rFonts w:ascii="Scala Sans OT" w:hAnsi="Scala Sans OT" w:cs="Arial"/>
          <w:sz w:val="22"/>
          <w:szCs w:val="22"/>
        </w:rPr>
        <w:t>. KW 2020 vor.</w:t>
      </w:r>
      <w:r w:rsidRPr="00D27466">
        <w:rPr>
          <w:rFonts w:ascii="Scala Sans OT" w:hAnsi="Scala Sans OT" w:cs="Arial"/>
          <w:sz w:val="22"/>
          <w:szCs w:val="22"/>
        </w:rPr>
        <w:t xml:space="preserve"> </w:t>
      </w:r>
    </w:p>
    <w:p w:rsidR="00C3375D" w:rsidRDefault="00C3375D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  <w:r>
        <w:rPr>
          <w:rFonts w:ascii="Scala Sans OT" w:hAnsi="Scala Sans OT" w:cs="Arial"/>
          <w:sz w:val="22"/>
          <w:szCs w:val="22"/>
        </w:rPr>
        <w:t>In der 1</w:t>
      </w:r>
      <w:r w:rsidR="00E9106F">
        <w:rPr>
          <w:rFonts w:ascii="Scala Sans OT" w:hAnsi="Scala Sans OT" w:cs="Arial"/>
          <w:sz w:val="22"/>
          <w:szCs w:val="22"/>
        </w:rPr>
        <w:t>3</w:t>
      </w:r>
      <w:r>
        <w:rPr>
          <w:rFonts w:ascii="Scala Sans OT" w:hAnsi="Scala Sans OT" w:cs="Arial"/>
          <w:sz w:val="22"/>
          <w:szCs w:val="22"/>
        </w:rPr>
        <w:t>. KW 2020 ist die Gesamtzahl stationär behandelter Fälle mit akuten respiratorischen Infektionen (SARI-Fälle</w:t>
      </w:r>
      <w:r w:rsidRPr="00AE483D">
        <w:rPr>
          <w:rFonts w:ascii="Scala Sans OT" w:hAnsi="Scala Sans OT" w:cs="Arial"/>
          <w:sz w:val="22"/>
          <w:szCs w:val="22"/>
        </w:rPr>
        <w:t xml:space="preserve">) </w:t>
      </w:r>
      <w:r w:rsidR="00E9106F">
        <w:rPr>
          <w:rFonts w:ascii="Scala Sans OT" w:hAnsi="Scala Sans OT" w:cs="Arial"/>
          <w:sz w:val="22"/>
          <w:szCs w:val="22"/>
        </w:rPr>
        <w:t>weiter</w:t>
      </w:r>
      <w:r>
        <w:rPr>
          <w:rFonts w:ascii="Scala Sans OT" w:hAnsi="Scala Sans OT" w:cs="Arial"/>
          <w:sz w:val="22"/>
          <w:szCs w:val="22"/>
        </w:rPr>
        <w:t xml:space="preserve"> gesunken. Dabei ist die Zahl der SARI-Fälle in </w:t>
      </w:r>
      <w:r w:rsidR="00E9106F">
        <w:rPr>
          <w:rFonts w:ascii="Scala Sans OT" w:hAnsi="Scala Sans OT" w:cs="Arial"/>
          <w:sz w:val="22"/>
          <w:szCs w:val="22"/>
        </w:rPr>
        <w:t xml:space="preserve">den </w:t>
      </w:r>
      <w:r>
        <w:rPr>
          <w:rFonts w:ascii="Scala Sans OT" w:hAnsi="Scala Sans OT" w:cs="Arial"/>
          <w:sz w:val="22"/>
          <w:szCs w:val="22"/>
        </w:rPr>
        <w:t xml:space="preserve">Altersgruppen </w:t>
      </w:r>
      <w:r w:rsidR="00E9106F">
        <w:rPr>
          <w:rFonts w:ascii="Scala Sans OT" w:hAnsi="Scala Sans OT" w:cs="Arial"/>
          <w:sz w:val="22"/>
          <w:szCs w:val="22"/>
        </w:rPr>
        <w:t xml:space="preserve">unter 35 Jahre </w:t>
      </w:r>
      <w:r w:rsidR="00C067C6">
        <w:rPr>
          <w:rFonts w:ascii="Scala Sans OT" w:hAnsi="Scala Sans OT" w:cs="Arial"/>
          <w:sz w:val="22"/>
          <w:szCs w:val="22"/>
        </w:rPr>
        <w:t xml:space="preserve">(0 bis 4 Jahre, 5 bi 14 Jahre, 15 bis 34 Jahre) </w:t>
      </w:r>
      <w:r w:rsidR="00BE20DF">
        <w:rPr>
          <w:rFonts w:ascii="Scala Sans OT" w:hAnsi="Scala Sans OT" w:cs="Arial"/>
          <w:sz w:val="22"/>
          <w:szCs w:val="22"/>
        </w:rPr>
        <w:t>erneut</w:t>
      </w:r>
      <w:r w:rsidR="00E9106F">
        <w:rPr>
          <w:rFonts w:ascii="Scala Sans OT" w:hAnsi="Scala Sans OT" w:cs="Arial"/>
          <w:sz w:val="22"/>
          <w:szCs w:val="22"/>
        </w:rPr>
        <w:t xml:space="preserve"> </w:t>
      </w:r>
      <w:r>
        <w:rPr>
          <w:rFonts w:ascii="Scala Sans OT" w:hAnsi="Scala Sans OT" w:cs="Arial"/>
          <w:sz w:val="22"/>
          <w:szCs w:val="22"/>
        </w:rPr>
        <w:t>stark gesunken</w:t>
      </w:r>
      <w:r w:rsidR="00C067C6">
        <w:rPr>
          <w:rFonts w:ascii="Scala Sans OT" w:hAnsi="Scala Sans OT" w:cs="Arial"/>
          <w:sz w:val="22"/>
          <w:szCs w:val="22"/>
        </w:rPr>
        <w:t xml:space="preserve">. In der </w:t>
      </w:r>
      <w:r>
        <w:rPr>
          <w:rFonts w:ascii="Scala Sans OT" w:hAnsi="Scala Sans OT" w:cs="Arial"/>
          <w:sz w:val="22"/>
          <w:szCs w:val="22"/>
        </w:rPr>
        <w:t>Alters</w:t>
      </w:r>
      <w:r w:rsidR="00C067C6">
        <w:rPr>
          <w:rFonts w:ascii="Scala Sans OT" w:hAnsi="Scala Sans OT" w:cs="Arial"/>
          <w:sz w:val="22"/>
          <w:szCs w:val="22"/>
        </w:rPr>
        <w:t>-</w:t>
      </w:r>
      <w:r>
        <w:rPr>
          <w:rFonts w:ascii="Scala Sans OT" w:hAnsi="Scala Sans OT" w:cs="Arial"/>
          <w:sz w:val="22"/>
          <w:szCs w:val="22"/>
        </w:rPr>
        <w:t xml:space="preserve">gruppe 35 bis 59 Jahre </w:t>
      </w:r>
      <w:r w:rsidR="00C067C6">
        <w:rPr>
          <w:rFonts w:ascii="Scala Sans OT" w:hAnsi="Scala Sans OT" w:cs="Arial"/>
          <w:sz w:val="22"/>
          <w:szCs w:val="22"/>
        </w:rPr>
        <w:t xml:space="preserve">ist die Zahl der SARI-Fälle dagegen wieder angestiegen. In den Altersgruppe </w:t>
      </w:r>
      <w:r>
        <w:rPr>
          <w:rFonts w:ascii="Scala Sans OT" w:hAnsi="Scala Sans OT" w:cs="Arial"/>
          <w:sz w:val="22"/>
          <w:szCs w:val="22"/>
        </w:rPr>
        <w:t xml:space="preserve">60 bis 79 Jahre </w:t>
      </w:r>
      <w:r w:rsidR="00C067C6">
        <w:rPr>
          <w:rFonts w:ascii="Scala Sans OT" w:hAnsi="Scala Sans OT" w:cs="Arial"/>
          <w:sz w:val="22"/>
          <w:szCs w:val="22"/>
        </w:rPr>
        <w:t xml:space="preserve">sowie 80 Jahre und älter </w:t>
      </w:r>
      <w:r>
        <w:rPr>
          <w:rFonts w:ascii="Scala Sans OT" w:hAnsi="Scala Sans OT" w:cs="Arial"/>
          <w:sz w:val="22"/>
          <w:szCs w:val="22"/>
        </w:rPr>
        <w:t xml:space="preserve">sind die SARI-Fallzahlen </w:t>
      </w:r>
      <w:r w:rsidR="00C067C6">
        <w:rPr>
          <w:rFonts w:ascii="Scala Sans OT" w:hAnsi="Scala Sans OT" w:cs="Arial"/>
          <w:sz w:val="22"/>
          <w:szCs w:val="22"/>
        </w:rPr>
        <w:t>stabil geblieben</w:t>
      </w:r>
      <w:r w:rsidR="00CE2FE4">
        <w:rPr>
          <w:rFonts w:ascii="Scala Sans OT" w:hAnsi="Scala Sans OT" w:cs="Arial"/>
          <w:sz w:val="22"/>
          <w:szCs w:val="22"/>
        </w:rPr>
        <w:t xml:space="preserve"> (A</w:t>
      </w:r>
      <w:r>
        <w:rPr>
          <w:rFonts w:ascii="Scala Sans OT" w:hAnsi="Scala Sans OT" w:cs="Arial"/>
          <w:sz w:val="22"/>
          <w:szCs w:val="22"/>
        </w:rPr>
        <w:t>bb. 5).</w:t>
      </w:r>
    </w:p>
    <w:p w:rsidR="00C3375D" w:rsidRDefault="00C3375D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</w:p>
    <w:p w:rsidR="00C3375D" w:rsidRDefault="00C3375D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  <w:r w:rsidRPr="009C1B01">
        <w:rPr>
          <w:rFonts w:ascii="Scala Sans OT" w:hAnsi="Scala Sans OT" w:cs="Arial"/>
          <w:sz w:val="22"/>
          <w:szCs w:val="22"/>
        </w:rPr>
        <w:t xml:space="preserve">In der </w:t>
      </w:r>
      <w:r>
        <w:rPr>
          <w:rFonts w:ascii="Scala Sans OT" w:hAnsi="Scala Sans OT" w:cs="Arial"/>
          <w:sz w:val="22"/>
          <w:szCs w:val="22"/>
        </w:rPr>
        <w:t>1</w:t>
      </w:r>
      <w:r w:rsidR="00D536A0">
        <w:rPr>
          <w:rFonts w:ascii="Scala Sans OT" w:hAnsi="Scala Sans OT" w:cs="Arial"/>
          <w:sz w:val="22"/>
          <w:szCs w:val="22"/>
        </w:rPr>
        <w:t>3</w:t>
      </w:r>
      <w:r w:rsidRPr="009C1B01">
        <w:rPr>
          <w:rFonts w:ascii="Scala Sans OT" w:hAnsi="Scala Sans OT" w:cs="Arial"/>
          <w:sz w:val="22"/>
          <w:szCs w:val="22"/>
        </w:rPr>
        <w:t xml:space="preserve">. KW 2020 lag die Zahl der SARI-Fälle in </w:t>
      </w:r>
      <w:r>
        <w:rPr>
          <w:rFonts w:ascii="Scala Sans OT" w:hAnsi="Scala Sans OT" w:cs="Arial"/>
          <w:sz w:val="22"/>
          <w:szCs w:val="22"/>
        </w:rPr>
        <w:t>den jüngeren Altersgruppen bis 14 Jahre auf einem</w:t>
      </w:r>
      <w:r w:rsidR="00D536A0">
        <w:rPr>
          <w:rFonts w:ascii="Scala Sans OT" w:hAnsi="Scala Sans OT" w:cs="Arial"/>
          <w:sz w:val="22"/>
          <w:szCs w:val="22"/>
        </w:rPr>
        <w:t xml:space="preserve"> sehr</w:t>
      </w:r>
      <w:r>
        <w:rPr>
          <w:rFonts w:ascii="Scala Sans OT" w:hAnsi="Scala Sans OT" w:cs="Arial"/>
          <w:sz w:val="22"/>
          <w:szCs w:val="22"/>
        </w:rPr>
        <w:t xml:space="preserve"> niedrigen Niveau</w:t>
      </w:r>
      <w:r w:rsidR="00D536A0">
        <w:rPr>
          <w:rFonts w:ascii="Scala Sans OT" w:hAnsi="Scala Sans OT" w:cs="Arial"/>
          <w:sz w:val="22"/>
          <w:szCs w:val="22"/>
        </w:rPr>
        <w:t>, geringer als in den 13. KW der fünf vorherigen Saisons</w:t>
      </w:r>
      <w:r>
        <w:rPr>
          <w:rFonts w:ascii="Scala Sans OT" w:hAnsi="Scala Sans OT" w:cs="Arial"/>
          <w:sz w:val="22"/>
          <w:szCs w:val="22"/>
        </w:rPr>
        <w:t xml:space="preserve">. Die SARI-Fallzahlen in den Altersgruppen </w:t>
      </w:r>
      <w:r w:rsidR="00290C10">
        <w:rPr>
          <w:rFonts w:ascii="Scala Sans OT" w:hAnsi="Scala Sans OT" w:cs="Arial"/>
          <w:sz w:val="22"/>
          <w:szCs w:val="22"/>
        </w:rPr>
        <w:t>35 bis 59 Jahre sowie 60 bis 79 Jahre</w:t>
      </w:r>
      <w:r>
        <w:rPr>
          <w:rFonts w:ascii="Scala Sans OT" w:hAnsi="Scala Sans OT" w:cs="Arial"/>
          <w:sz w:val="22"/>
          <w:szCs w:val="22"/>
        </w:rPr>
        <w:t xml:space="preserve"> lagen auf einem hohen </w:t>
      </w:r>
      <w:r w:rsidR="00290C10">
        <w:rPr>
          <w:rFonts w:ascii="Scala Sans OT" w:hAnsi="Scala Sans OT" w:cs="Arial"/>
          <w:sz w:val="22"/>
          <w:szCs w:val="22"/>
        </w:rPr>
        <w:t>bis sehr hohen Niveau, höher als in den 13. KW der Vorsaisons.</w:t>
      </w:r>
    </w:p>
    <w:p w:rsidR="00C3375D" w:rsidRPr="00C3375D" w:rsidRDefault="004C4FE1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  <w:r>
        <w:rPr>
          <w:noProof/>
          <w:lang w:eastAsia="de-DE"/>
        </w:rPr>
        <w:drawing>
          <wp:inline distT="0" distB="0" distL="0" distR="0">
            <wp:extent cx="5400000" cy="216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5D" w:rsidRDefault="00C3375D" w:rsidP="00C3375D">
      <w:pPr>
        <w:ind w:left="1276" w:right="625" w:hanging="618"/>
        <w:rPr>
          <w:rFonts w:ascii="Scala Sans OT" w:hAnsi="Scala Sans OT" w:cs="Arial"/>
          <w:sz w:val="18"/>
          <w:szCs w:val="18"/>
        </w:rPr>
      </w:pPr>
      <w:r w:rsidRPr="00A1741E">
        <w:rPr>
          <w:rFonts w:ascii="Scala Sans OT" w:hAnsi="Scala Sans OT" w:cs="Arial"/>
          <w:b/>
          <w:sz w:val="18"/>
          <w:szCs w:val="18"/>
        </w:rPr>
        <w:t>Abb. 5:</w:t>
      </w:r>
      <w:r w:rsidRPr="00A1741E">
        <w:rPr>
          <w:rFonts w:ascii="Scala Sans OT" w:hAnsi="Scala Sans OT" w:cs="Arial"/>
          <w:sz w:val="18"/>
          <w:szCs w:val="18"/>
        </w:rPr>
        <w:t xml:space="preserve"> Wöchentliche Anzahl der SARI-Fälle (ICD-10-Codes J09 – J22) mit einer Verweildauer bis zu einer Woch</w:t>
      </w:r>
      <w:r w:rsidR="00290C10">
        <w:rPr>
          <w:rFonts w:ascii="Scala Sans OT" w:hAnsi="Scala Sans OT" w:cs="Arial"/>
          <w:sz w:val="18"/>
          <w:szCs w:val="18"/>
        </w:rPr>
        <w:t>e von der 40. KW 2017 bis zur 13</w:t>
      </w:r>
      <w:r w:rsidRPr="00A1741E">
        <w:rPr>
          <w:rFonts w:ascii="Scala Sans OT" w:hAnsi="Scala Sans OT" w:cs="Arial"/>
          <w:sz w:val="18"/>
          <w:szCs w:val="18"/>
        </w:rPr>
        <w:t>. KW 2020, Daten aus 7</w:t>
      </w:r>
      <w:r w:rsidR="00CE2FE4">
        <w:rPr>
          <w:rFonts w:ascii="Scala Sans OT" w:hAnsi="Scala Sans OT" w:cs="Arial"/>
          <w:sz w:val="18"/>
          <w:szCs w:val="18"/>
        </w:rPr>
        <w:t>3</w:t>
      </w:r>
      <w:r w:rsidRPr="00A1741E">
        <w:rPr>
          <w:rFonts w:ascii="Scala Sans OT" w:hAnsi="Scala Sans OT" w:cs="Arial"/>
          <w:sz w:val="18"/>
          <w:szCs w:val="18"/>
        </w:rPr>
        <w:t xml:space="preserve"> </w:t>
      </w:r>
      <w:proofErr w:type="spellStart"/>
      <w:r w:rsidRPr="00A1741E">
        <w:rPr>
          <w:rFonts w:ascii="Scala Sans OT" w:hAnsi="Scala Sans OT" w:cs="Arial"/>
          <w:sz w:val="18"/>
          <w:szCs w:val="18"/>
        </w:rPr>
        <w:t>Sentinelkliniken</w:t>
      </w:r>
      <w:proofErr w:type="spellEnd"/>
      <w:r w:rsidRPr="00A1741E">
        <w:rPr>
          <w:rFonts w:ascii="Scala Sans OT" w:hAnsi="Scala Sans OT" w:cs="Arial"/>
          <w:sz w:val="18"/>
          <w:szCs w:val="18"/>
        </w:rPr>
        <w:t>. Die senkrechte Linie markiert jeweils die 1. KW des Jahres, der Zeitraum der Grippewelle ist grau hinterlegt.</w:t>
      </w:r>
    </w:p>
    <w:p w:rsidR="00C3375D" w:rsidRDefault="00C3375D" w:rsidP="00C3375D">
      <w:pPr>
        <w:ind w:left="1276" w:right="625" w:hanging="618"/>
        <w:rPr>
          <w:rFonts w:ascii="Scala Sans OT" w:hAnsi="Scala Sans OT" w:cs="Arial"/>
          <w:sz w:val="16"/>
          <w:szCs w:val="16"/>
        </w:rPr>
      </w:pPr>
    </w:p>
    <w:p w:rsidR="006D20FC" w:rsidRPr="00F72DE6" w:rsidRDefault="006D20FC" w:rsidP="00C3375D">
      <w:pPr>
        <w:ind w:left="1276" w:right="625" w:hanging="618"/>
        <w:rPr>
          <w:rFonts w:ascii="Scala Sans OT" w:hAnsi="Scala Sans OT" w:cs="Arial"/>
          <w:sz w:val="16"/>
          <w:szCs w:val="16"/>
        </w:rPr>
      </w:pPr>
    </w:p>
    <w:p w:rsidR="00C3375D" w:rsidRDefault="00C3375D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  <w:r>
        <w:rPr>
          <w:rFonts w:ascii="Scala Sans OT" w:hAnsi="Scala Sans OT" w:cs="Arial"/>
          <w:sz w:val="22"/>
          <w:szCs w:val="22"/>
        </w:rPr>
        <w:t>In den 7</w:t>
      </w:r>
      <w:r w:rsidR="00CE2FE4">
        <w:rPr>
          <w:rFonts w:ascii="Scala Sans OT" w:hAnsi="Scala Sans OT" w:cs="Arial"/>
          <w:sz w:val="22"/>
          <w:szCs w:val="22"/>
        </w:rPr>
        <w:t>3</w:t>
      </w:r>
      <w:r>
        <w:rPr>
          <w:rFonts w:ascii="Scala Sans OT" w:hAnsi="Scala Sans OT" w:cs="Arial"/>
          <w:sz w:val="22"/>
          <w:szCs w:val="22"/>
        </w:rPr>
        <w:t xml:space="preserve"> </w:t>
      </w:r>
      <w:proofErr w:type="spellStart"/>
      <w:r w:rsidR="00CE2FE4">
        <w:rPr>
          <w:rFonts w:ascii="Scala Sans OT" w:hAnsi="Scala Sans OT" w:cs="Arial"/>
          <w:sz w:val="22"/>
          <w:szCs w:val="22"/>
        </w:rPr>
        <w:t>Sentinel</w:t>
      </w:r>
      <w:proofErr w:type="spellEnd"/>
      <w:r w:rsidR="00CE2FE4">
        <w:rPr>
          <w:rFonts w:ascii="Scala Sans OT" w:hAnsi="Scala Sans OT" w:cs="Arial"/>
          <w:sz w:val="22"/>
          <w:szCs w:val="22"/>
        </w:rPr>
        <w:t>-Krankenhäusern</w:t>
      </w:r>
      <w:r w:rsidR="0062318E">
        <w:rPr>
          <w:rFonts w:ascii="Scala Sans OT" w:hAnsi="Scala Sans OT" w:cs="Arial"/>
          <w:sz w:val="22"/>
          <w:szCs w:val="22"/>
        </w:rPr>
        <w:t xml:space="preserve"> waren in der 13. KW 24 % der SARI-Fälle mit COVID-19 hospitalisiert. Während es bei Kindern unter 14 Jahren keine SARI-Fälle mit COVID-</w:t>
      </w:r>
      <w:r w:rsidR="00D0561C">
        <w:rPr>
          <w:rFonts w:ascii="Scala Sans OT" w:hAnsi="Scala Sans OT" w:cs="Arial"/>
          <w:sz w:val="22"/>
          <w:szCs w:val="22"/>
        </w:rPr>
        <w:t>19-</w:t>
      </w:r>
      <w:r w:rsidR="0062318E">
        <w:rPr>
          <w:rFonts w:ascii="Scala Sans OT" w:hAnsi="Scala Sans OT" w:cs="Arial"/>
          <w:sz w:val="22"/>
          <w:szCs w:val="22"/>
        </w:rPr>
        <w:t xml:space="preserve">Diagnose gab, </w:t>
      </w:r>
      <w:r w:rsidR="00D0561C">
        <w:rPr>
          <w:rFonts w:ascii="Scala Sans OT" w:hAnsi="Scala Sans OT" w:cs="Arial"/>
          <w:sz w:val="22"/>
          <w:szCs w:val="22"/>
        </w:rPr>
        <w:t xml:space="preserve">war der Anteil der COVID-19-Fälle </w:t>
      </w:r>
      <w:r w:rsidR="0062318E">
        <w:rPr>
          <w:rFonts w:ascii="Scala Sans OT" w:hAnsi="Scala Sans OT" w:cs="Arial"/>
          <w:sz w:val="22"/>
          <w:szCs w:val="22"/>
        </w:rPr>
        <w:t xml:space="preserve">in der Altersgruppe 35 bis 59 Jahre </w:t>
      </w:r>
      <w:r w:rsidR="00D0561C">
        <w:rPr>
          <w:rFonts w:ascii="Scala Sans OT" w:hAnsi="Scala Sans OT" w:cs="Arial"/>
          <w:sz w:val="22"/>
          <w:szCs w:val="22"/>
        </w:rPr>
        <w:t xml:space="preserve">mit 47 % besonders hoch. </w:t>
      </w:r>
      <w:r>
        <w:rPr>
          <w:rFonts w:ascii="Scala Sans OT" w:hAnsi="Scala Sans OT" w:cs="Arial"/>
          <w:sz w:val="22"/>
          <w:szCs w:val="22"/>
        </w:rPr>
        <w:t>Der</w:t>
      </w:r>
      <w:r w:rsidR="0062318E">
        <w:rPr>
          <w:rFonts w:ascii="Scala Sans OT" w:hAnsi="Scala Sans OT" w:cs="Arial"/>
          <w:sz w:val="22"/>
          <w:szCs w:val="22"/>
        </w:rPr>
        <w:t xml:space="preserve"> Anstieg der SARI-Fälle in dieser</w:t>
      </w:r>
      <w:r>
        <w:rPr>
          <w:rFonts w:ascii="Scala Sans OT" w:hAnsi="Scala Sans OT" w:cs="Arial"/>
          <w:sz w:val="22"/>
          <w:szCs w:val="22"/>
        </w:rPr>
        <w:t xml:space="preserve"> Altersgruppe</w:t>
      </w:r>
      <w:r w:rsidR="0062318E">
        <w:rPr>
          <w:rFonts w:ascii="Scala Sans OT" w:hAnsi="Scala Sans OT" w:cs="Arial"/>
          <w:sz w:val="22"/>
          <w:szCs w:val="22"/>
        </w:rPr>
        <w:t xml:space="preserve"> scheint auf die deutliche Zunahme an COVID-19</w:t>
      </w:r>
      <w:r w:rsidR="00D0561C">
        <w:rPr>
          <w:rFonts w:ascii="Scala Sans OT" w:hAnsi="Scala Sans OT" w:cs="Arial"/>
          <w:sz w:val="22"/>
          <w:szCs w:val="22"/>
        </w:rPr>
        <w:t xml:space="preserve">-Fällen </w:t>
      </w:r>
      <w:r>
        <w:rPr>
          <w:rFonts w:ascii="Scala Sans OT" w:hAnsi="Scala Sans OT" w:cs="Arial"/>
          <w:sz w:val="22"/>
          <w:szCs w:val="22"/>
        </w:rPr>
        <w:t xml:space="preserve">zurückzuführen sein. </w:t>
      </w:r>
      <w:r w:rsidRPr="00D27466">
        <w:rPr>
          <w:rFonts w:ascii="Scala Sans OT" w:hAnsi="Scala Sans OT" w:cs="Arial"/>
          <w:sz w:val="22"/>
          <w:szCs w:val="22"/>
        </w:rPr>
        <w:t>Zu beachten ist, dass sich die Zahlen in der aktuellen Saison durch aktualisierte Daten in den Folgewochen noch ändern können.</w:t>
      </w:r>
    </w:p>
    <w:p w:rsidR="006D20FC" w:rsidRDefault="006D20FC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</w:p>
    <w:p w:rsidR="00C3375D" w:rsidRDefault="00C3375D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</w:p>
    <w:p w:rsidR="00C3375D" w:rsidRDefault="00C3375D" w:rsidP="005D4445">
      <w:pPr>
        <w:autoSpaceDE w:val="0"/>
        <w:autoSpaceDN w:val="0"/>
        <w:adjustRightInd w:val="0"/>
        <w:spacing w:after="120"/>
        <w:rPr>
          <w:rFonts w:ascii="Scala Sans OT" w:hAnsi="Scala Sans OT" w:cs="Arial"/>
          <w:sz w:val="18"/>
          <w:szCs w:val="18"/>
        </w:rPr>
      </w:pPr>
      <w:r>
        <w:rPr>
          <w:rFonts w:ascii="Scala Sans OT" w:hAnsi="Scala Sans OT" w:cs="Arial"/>
          <w:b/>
          <w:sz w:val="18"/>
          <w:szCs w:val="18"/>
        </w:rPr>
        <w:t>Tab. 5</w:t>
      </w:r>
      <w:r w:rsidRPr="00642C98">
        <w:rPr>
          <w:rFonts w:ascii="Scala Sans OT" w:hAnsi="Scala Sans OT" w:cs="Arial"/>
          <w:b/>
          <w:sz w:val="18"/>
          <w:szCs w:val="18"/>
        </w:rPr>
        <w:t>:</w:t>
      </w:r>
      <w:r>
        <w:rPr>
          <w:rFonts w:ascii="Scala Sans OT" w:hAnsi="Scala Sans OT" w:cs="Arial"/>
          <w:sz w:val="18"/>
          <w:szCs w:val="18"/>
        </w:rPr>
        <w:t xml:space="preserve">  Anteil der Fälle mit einer zusätzlichen COVID-19-Diagnose (U07.1!) an allen SARI-Fällen</w:t>
      </w:r>
      <w:r w:rsidRPr="00642C98">
        <w:rPr>
          <w:rFonts w:ascii="Scala Sans OT" w:hAnsi="Scala Sans OT" w:cs="Arial"/>
          <w:sz w:val="18"/>
          <w:szCs w:val="18"/>
        </w:rPr>
        <w:t xml:space="preserve"> (ICD-10-Codes J09 – J22)</w:t>
      </w:r>
      <w:r>
        <w:rPr>
          <w:rFonts w:ascii="Scala Sans OT" w:hAnsi="Scala Sans OT" w:cs="Arial"/>
          <w:sz w:val="18"/>
          <w:szCs w:val="18"/>
        </w:rPr>
        <w:t xml:space="preserve"> mit </w:t>
      </w:r>
      <w:r w:rsidRPr="00642C98">
        <w:rPr>
          <w:rFonts w:ascii="Scala Sans OT" w:hAnsi="Scala Sans OT" w:cs="Arial"/>
          <w:sz w:val="18"/>
          <w:szCs w:val="18"/>
        </w:rPr>
        <w:t xml:space="preserve">einer Verweildauer bis zu einer Woche </w:t>
      </w:r>
      <w:r>
        <w:rPr>
          <w:rFonts w:ascii="Scala Sans OT" w:hAnsi="Scala Sans OT" w:cs="Arial"/>
          <w:sz w:val="18"/>
          <w:szCs w:val="18"/>
        </w:rPr>
        <w:t>mit Aufnahmedatum in der 12</w:t>
      </w:r>
      <w:r w:rsidRPr="00642C98">
        <w:rPr>
          <w:rFonts w:ascii="Scala Sans OT" w:hAnsi="Scala Sans OT" w:cs="Arial"/>
          <w:sz w:val="18"/>
          <w:szCs w:val="18"/>
        </w:rPr>
        <w:t>. KW 20</w:t>
      </w:r>
      <w:r>
        <w:rPr>
          <w:rFonts w:ascii="Scala Sans OT" w:hAnsi="Scala Sans OT" w:cs="Arial"/>
          <w:sz w:val="18"/>
          <w:szCs w:val="18"/>
        </w:rPr>
        <w:t>20</w:t>
      </w:r>
      <w:r w:rsidR="0062318E">
        <w:rPr>
          <w:rFonts w:ascii="Scala Sans OT" w:hAnsi="Scala Sans OT" w:cs="Arial"/>
          <w:sz w:val="18"/>
          <w:szCs w:val="18"/>
        </w:rPr>
        <w:t xml:space="preserve"> bis zur 13. KW 2020</w:t>
      </w:r>
      <w:r w:rsidRPr="00642C98">
        <w:rPr>
          <w:rFonts w:ascii="Scala Sans OT" w:hAnsi="Scala Sans OT" w:cs="Arial"/>
          <w:sz w:val="18"/>
          <w:szCs w:val="18"/>
        </w:rPr>
        <w:t xml:space="preserve">, </w:t>
      </w:r>
      <w:r w:rsidRPr="00AE483D">
        <w:rPr>
          <w:rFonts w:ascii="Scala Sans OT" w:hAnsi="Scala Sans OT" w:cs="Arial"/>
          <w:sz w:val="18"/>
          <w:szCs w:val="18"/>
        </w:rPr>
        <w:t>Daten aus 7</w:t>
      </w:r>
      <w:r w:rsidR="00CE2FE4">
        <w:rPr>
          <w:rFonts w:ascii="Scala Sans OT" w:hAnsi="Scala Sans OT" w:cs="Arial"/>
          <w:sz w:val="18"/>
          <w:szCs w:val="18"/>
        </w:rPr>
        <w:t>3</w:t>
      </w:r>
      <w:r w:rsidRPr="00464D43">
        <w:rPr>
          <w:rFonts w:ascii="Scala Sans OT" w:hAnsi="Scala Sans OT" w:cs="Arial"/>
          <w:sz w:val="18"/>
          <w:szCs w:val="18"/>
        </w:rPr>
        <w:t xml:space="preserve"> </w:t>
      </w:r>
      <w:proofErr w:type="spellStart"/>
      <w:r w:rsidRPr="00464D43">
        <w:rPr>
          <w:rFonts w:ascii="Scala Sans OT" w:hAnsi="Scala Sans OT" w:cs="Arial"/>
          <w:sz w:val="18"/>
          <w:szCs w:val="18"/>
        </w:rPr>
        <w:t>S</w:t>
      </w:r>
      <w:r w:rsidRPr="00642C98">
        <w:rPr>
          <w:rFonts w:ascii="Scala Sans OT" w:hAnsi="Scala Sans OT" w:cs="Arial"/>
          <w:sz w:val="18"/>
          <w:szCs w:val="18"/>
        </w:rPr>
        <w:t>entinelkliniken</w:t>
      </w:r>
      <w:proofErr w:type="spellEnd"/>
      <w:r w:rsidRPr="00642C98">
        <w:rPr>
          <w:rFonts w:ascii="Scala Sans OT" w:hAnsi="Scala Sans OT" w:cs="Arial"/>
          <w:sz w:val="18"/>
          <w:szCs w:val="18"/>
        </w:rPr>
        <w:t>.</w:t>
      </w:r>
    </w:p>
    <w:tbl>
      <w:tblPr>
        <w:tblW w:w="7500" w:type="dxa"/>
        <w:jc w:val="center"/>
        <w:tblInd w:w="70" w:type="dxa"/>
        <w:tblBorders>
          <w:top w:val="single" w:sz="4" w:space="0" w:color="005EB8"/>
          <w:bottom w:val="single" w:sz="4" w:space="0" w:color="005EB8"/>
          <w:insideH w:val="single" w:sz="4" w:space="0" w:color="005EB8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4"/>
        <w:gridCol w:w="2693"/>
        <w:gridCol w:w="2693"/>
      </w:tblGrid>
      <w:tr w:rsidR="0062318E" w:rsidRPr="0067406B" w:rsidTr="008408EF">
        <w:trPr>
          <w:trHeight w:val="278"/>
          <w:jc w:val="center"/>
        </w:trPr>
        <w:tc>
          <w:tcPr>
            <w:tcW w:w="2114" w:type="dxa"/>
            <w:shd w:val="clear" w:color="auto" w:fill="AFD7FF"/>
            <w:noWrap/>
            <w:vAlign w:val="center"/>
          </w:tcPr>
          <w:p w:rsidR="0062318E" w:rsidRPr="006E44BD" w:rsidRDefault="0062318E" w:rsidP="008A7B0F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b/>
                <w:color w:val="auto"/>
                <w:sz w:val="20"/>
              </w:rPr>
            </w:pPr>
            <w:r w:rsidRPr="00B507C0">
              <w:rPr>
                <w:rFonts w:ascii="Scala Sans OT" w:hAnsi="Scala Sans OT" w:cs="Arial"/>
                <w:b/>
                <w:color w:val="auto"/>
                <w:sz w:val="20"/>
              </w:rPr>
              <w:t>Altersgruppe</w:t>
            </w:r>
          </w:p>
        </w:tc>
        <w:tc>
          <w:tcPr>
            <w:tcW w:w="5386" w:type="dxa"/>
            <w:gridSpan w:val="2"/>
            <w:shd w:val="clear" w:color="auto" w:fill="AFD7FF"/>
            <w:vAlign w:val="center"/>
          </w:tcPr>
          <w:p w:rsidR="0062318E" w:rsidRPr="00B507C0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b/>
                <w:color w:val="auto"/>
                <w:sz w:val="20"/>
              </w:rPr>
            </w:pPr>
            <w:r w:rsidRPr="00B507C0">
              <w:rPr>
                <w:rFonts w:ascii="Scala Sans OT" w:hAnsi="Scala Sans OT" w:cs="Arial"/>
                <w:b/>
                <w:color w:val="auto"/>
                <w:sz w:val="20"/>
              </w:rPr>
              <w:t>Anteil COVID-19 an SARI</w:t>
            </w:r>
          </w:p>
        </w:tc>
      </w:tr>
      <w:tr w:rsidR="0062318E" w:rsidRPr="0067406B" w:rsidTr="0062318E">
        <w:trPr>
          <w:trHeight w:val="278"/>
          <w:jc w:val="center"/>
        </w:trPr>
        <w:tc>
          <w:tcPr>
            <w:tcW w:w="2114" w:type="dxa"/>
            <w:shd w:val="clear" w:color="auto" w:fill="AFD7FF"/>
            <w:noWrap/>
            <w:vAlign w:val="center"/>
          </w:tcPr>
          <w:p w:rsidR="0062318E" w:rsidRPr="00B507C0" w:rsidRDefault="0062318E" w:rsidP="008A7B0F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b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AFD7FF"/>
            <w:vAlign w:val="center"/>
          </w:tcPr>
          <w:p w:rsidR="0062318E" w:rsidRPr="00B507C0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b/>
                <w:color w:val="auto"/>
                <w:sz w:val="20"/>
              </w:rPr>
            </w:pPr>
            <w:r>
              <w:rPr>
                <w:rFonts w:ascii="Scala Sans OT" w:hAnsi="Scala Sans OT" w:cs="Arial"/>
                <w:b/>
                <w:color w:val="auto"/>
                <w:sz w:val="20"/>
              </w:rPr>
              <w:t>12. KW</w:t>
            </w:r>
          </w:p>
        </w:tc>
        <w:tc>
          <w:tcPr>
            <w:tcW w:w="2693" w:type="dxa"/>
            <w:shd w:val="clear" w:color="auto" w:fill="AFD7FF"/>
          </w:tcPr>
          <w:p w:rsidR="0062318E" w:rsidRPr="00B507C0" w:rsidRDefault="0062318E" w:rsidP="0062318E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b/>
                <w:color w:val="auto"/>
                <w:sz w:val="20"/>
              </w:rPr>
            </w:pPr>
            <w:r>
              <w:rPr>
                <w:rFonts w:ascii="Scala Sans OT" w:hAnsi="Scala Sans OT" w:cs="Arial"/>
                <w:b/>
                <w:color w:val="auto"/>
                <w:sz w:val="20"/>
              </w:rPr>
              <w:t>13. KW</w:t>
            </w:r>
          </w:p>
        </w:tc>
      </w:tr>
      <w:tr w:rsidR="0062318E" w:rsidRPr="0067406B" w:rsidTr="00434803">
        <w:trPr>
          <w:trHeight w:hRule="exact" w:val="278"/>
          <w:jc w:val="center"/>
        </w:trPr>
        <w:tc>
          <w:tcPr>
            <w:tcW w:w="2114" w:type="dxa"/>
            <w:shd w:val="clear" w:color="auto" w:fill="auto"/>
            <w:noWrap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24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0 bis 4 Jahre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0 %</w:t>
            </w:r>
          </w:p>
        </w:tc>
        <w:tc>
          <w:tcPr>
            <w:tcW w:w="2693" w:type="dxa"/>
            <w:vAlign w:val="bottom"/>
          </w:tcPr>
          <w:p w:rsidR="0062318E" w:rsidRPr="00532DD4" w:rsidRDefault="0062318E" w:rsidP="00623C01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0 %</w:t>
            </w:r>
          </w:p>
        </w:tc>
      </w:tr>
      <w:tr w:rsidR="0062318E" w:rsidRPr="0067406B" w:rsidTr="00434803">
        <w:trPr>
          <w:trHeight w:hRule="exact" w:val="278"/>
          <w:jc w:val="center"/>
        </w:trPr>
        <w:tc>
          <w:tcPr>
            <w:tcW w:w="2114" w:type="dxa"/>
            <w:shd w:val="clear" w:color="auto" w:fill="auto"/>
            <w:noWrap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5 bis 14 Jahre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0 %</w:t>
            </w:r>
          </w:p>
        </w:tc>
        <w:tc>
          <w:tcPr>
            <w:tcW w:w="2693" w:type="dxa"/>
            <w:vAlign w:val="bottom"/>
          </w:tcPr>
          <w:p w:rsidR="0062318E" w:rsidRPr="00532DD4" w:rsidRDefault="0062318E" w:rsidP="00623C01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0 %</w:t>
            </w:r>
          </w:p>
        </w:tc>
      </w:tr>
      <w:tr w:rsidR="0062318E" w:rsidRPr="0067406B" w:rsidTr="00434803">
        <w:trPr>
          <w:trHeight w:hRule="exact" w:val="278"/>
          <w:jc w:val="center"/>
        </w:trPr>
        <w:tc>
          <w:tcPr>
            <w:tcW w:w="2114" w:type="dxa"/>
            <w:shd w:val="clear" w:color="auto" w:fill="auto"/>
            <w:noWrap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15 bis 34 Jahre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5 %</w:t>
            </w:r>
          </w:p>
        </w:tc>
        <w:tc>
          <w:tcPr>
            <w:tcW w:w="2693" w:type="dxa"/>
            <w:vAlign w:val="bottom"/>
          </w:tcPr>
          <w:p w:rsidR="0062318E" w:rsidRPr="00532DD4" w:rsidRDefault="0062318E" w:rsidP="00623C01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32 %</w:t>
            </w:r>
          </w:p>
        </w:tc>
      </w:tr>
      <w:tr w:rsidR="0062318E" w:rsidRPr="0067406B" w:rsidTr="00434803">
        <w:trPr>
          <w:trHeight w:hRule="exact" w:val="278"/>
          <w:jc w:val="center"/>
        </w:trPr>
        <w:tc>
          <w:tcPr>
            <w:tcW w:w="2114" w:type="dxa"/>
            <w:shd w:val="clear" w:color="auto" w:fill="auto"/>
            <w:noWrap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35 bis 59 Jahre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14 %</w:t>
            </w:r>
          </w:p>
        </w:tc>
        <w:tc>
          <w:tcPr>
            <w:tcW w:w="2693" w:type="dxa"/>
            <w:vAlign w:val="bottom"/>
          </w:tcPr>
          <w:p w:rsidR="0062318E" w:rsidRPr="00532DD4" w:rsidRDefault="0062318E" w:rsidP="00623C01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47 %</w:t>
            </w:r>
          </w:p>
        </w:tc>
      </w:tr>
      <w:tr w:rsidR="0062318E" w:rsidRPr="0067406B" w:rsidTr="00434803">
        <w:trPr>
          <w:trHeight w:hRule="exact" w:val="278"/>
          <w:jc w:val="center"/>
        </w:trPr>
        <w:tc>
          <w:tcPr>
            <w:tcW w:w="2114" w:type="dxa"/>
            <w:shd w:val="clear" w:color="auto" w:fill="auto"/>
            <w:noWrap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60 bis 79 Jahre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13 %</w:t>
            </w:r>
          </w:p>
        </w:tc>
        <w:tc>
          <w:tcPr>
            <w:tcW w:w="2693" w:type="dxa"/>
            <w:vAlign w:val="bottom"/>
          </w:tcPr>
          <w:p w:rsidR="0062318E" w:rsidRPr="00532DD4" w:rsidRDefault="0062318E" w:rsidP="00623C01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29 %</w:t>
            </w:r>
          </w:p>
        </w:tc>
      </w:tr>
      <w:tr w:rsidR="0062318E" w:rsidRPr="0067406B" w:rsidTr="00434803">
        <w:trPr>
          <w:trHeight w:hRule="exact" w:val="278"/>
          <w:jc w:val="center"/>
        </w:trPr>
        <w:tc>
          <w:tcPr>
            <w:tcW w:w="2114" w:type="dxa"/>
            <w:shd w:val="clear" w:color="auto" w:fill="auto"/>
            <w:noWrap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80 Jahre und älter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2 %</w:t>
            </w:r>
          </w:p>
        </w:tc>
        <w:tc>
          <w:tcPr>
            <w:tcW w:w="2693" w:type="dxa"/>
            <w:vAlign w:val="bottom"/>
          </w:tcPr>
          <w:p w:rsidR="0062318E" w:rsidRPr="00532DD4" w:rsidRDefault="0062318E" w:rsidP="00623C01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color w:val="auto"/>
                <w:sz w:val="20"/>
              </w:rPr>
            </w:pPr>
            <w:r>
              <w:rPr>
                <w:rFonts w:ascii="Scala Sans OT" w:hAnsi="Scala Sans OT" w:cs="Arial"/>
                <w:color w:val="auto"/>
                <w:sz w:val="20"/>
              </w:rPr>
              <w:t>14 %</w:t>
            </w:r>
          </w:p>
        </w:tc>
      </w:tr>
      <w:tr w:rsidR="0062318E" w:rsidRPr="00287EEB" w:rsidTr="00434803">
        <w:trPr>
          <w:trHeight w:hRule="exact" w:val="276"/>
          <w:jc w:val="center"/>
        </w:trPr>
        <w:tc>
          <w:tcPr>
            <w:tcW w:w="2114" w:type="dxa"/>
            <w:shd w:val="clear" w:color="auto" w:fill="AFD7FF"/>
            <w:noWrap/>
            <w:vAlign w:val="center"/>
          </w:tcPr>
          <w:p w:rsidR="0062318E" w:rsidRPr="00532DD4" w:rsidRDefault="0062318E" w:rsidP="008A7B0F">
            <w:pPr>
              <w:pStyle w:val="Text"/>
              <w:tabs>
                <w:tab w:val="left" w:pos="224"/>
              </w:tabs>
              <w:snapToGrid w:val="0"/>
              <w:rPr>
                <w:rFonts w:ascii="Scala Sans OT" w:hAnsi="Scala Sans OT" w:cs="Arial"/>
                <w:b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b/>
                <w:color w:val="auto"/>
                <w:sz w:val="20"/>
              </w:rPr>
              <w:t>Gesamt</w:t>
            </w:r>
          </w:p>
        </w:tc>
        <w:tc>
          <w:tcPr>
            <w:tcW w:w="2693" w:type="dxa"/>
            <w:shd w:val="clear" w:color="auto" w:fill="AFD7FF"/>
            <w:vAlign w:val="center"/>
          </w:tcPr>
          <w:p w:rsidR="0062318E" w:rsidRPr="00532DD4" w:rsidRDefault="0062318E" w:rsidP="008A7B0F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b/>
                <w:color w:val="auto"/>
                <w:sz w:val="20"/>
              </w:rPr>
            </w:pPr>
            <w:r>
              <w:rPr>
                <w:rFonts w:ascii="Scala Sans OT" w:hAnsi="Scala Sans OT" w:cs="Arial"/>
                <w:b/>
                <w:color w:val="auto"/>
                <w:sz w:val="20"/>
              </w:rPr>
              <w:t>7 %</w:t>
            </w:r>
          </w:p>
        </w:tc>
        <w:tc>
          <w:tcPr>
            <w:tcW w:w="2693" w:type="dxa"/>
            <w:shd w:val="clear" w:color="auto" w:fill="AFD7FF"/>
            <w:vAlign w:val="center"/>
          </w:tcPr>
          <w:p w:rsidR="0062318E" w:rsidRPr="00532DD4" w:rsidRDefault="0062318E" w:rsidP="00623C01">
            <w:pPr>
              <w:pStyle w:val="Text"/>
              <w:tabs>
                <w:tab w:val="left" w:pos="290"/>
              </w:tabs>
              <w:snapToGrid w:val="0"/>
              <w:jc w:val="center"/>
              <w:rPr>
                <w:rFonts w:ascii="Scala Sans OT" w:hAnsi="Scala Sans OT" w:cs="Arial"/>
                <w:b/>
                <w:color w:val="auto"/>
                <w:sz w:val="20"/>
              </w:rPr>
            </w:pPr>
            <w:commentRangeStart w:id="1"/>
            <w:r>
              <w:rPr>
                <w:rFonts w:ascii="Scala Sans OT" w:hAnsi="Scala Sans OT" w:cs="Arial"/>
                <w:b/>
                <w:color w:val="auto"/>
                <w:sz w:val="20"/>
              </w:rPr>
              <w:t>24 %</w:t>
            </w:r>
            <w:commentRangeEnd w:id="1"/>
            <w:r w:rsidR="00610896">
              <w:rPr>
                <w:rStyle w:val="Kommentarzeichen"/>
                <w:rFonts w:ascii="Times New Roman" w:eastAsia="Times New Roman" w:hAnsi="Times New Roman"/>
                <w:color w:val="auto"/>
                <w:lang w:eastAsia="en-US"/>
              </w:rPr>
              <w:commentReference w:id="1"/>
            </w:r>
          </w:p>
        </w:tc>
      </w:tr>
    </w:tbl>
    <w:p w:rsidR="00C3375D" w:rsidRDefault="00C3375D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14"/>
          <w:szCs w:val="14"/>
        </w:rPr>
      </w:pPr>
    </w:p>
    <w:p w:rsidR="00C3375D" w:rsidRPr="00A1741E" w:rsidRDefault="00C3375D" w:rsidP="00C3375D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14"/>
          <w:szCs w:val="14"/>
        </w:rPr>
      </w:pPr>
    </w:p>
    <w:p w:rsidR="00EF40CB" w:rsidRDefault="00EF40CB"/>
    <w:sectPr w:rsidR="00EF4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olksdorf, Kristin" w:date="2020-04-07T23:02:00Z" w:initials="TK">
    <w:p w:rsidR="00610896" w:rsidRDefault="00610896">
      <w:pPr>
        <w:pStyle w:val="Kommentartext"/>
      </w:pPr>
      <w:r>
        <w:rPr>
          <w:rStyle w:val="Kommentarzeichen"/>
        </w:rPr>
        <w:annotationRef/>
      </w:r>
      <w:r>
        <w:t>Zur Info: In der KW 14 lag der Anteil insgesamt bei 37 % (0%, 0%, 23%, 50%, 44%, 36%)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ScalaSansO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5D"/>
    <w:rsid w:val="000031E6"/>
    <w:rsid w:val="00011076"/>
    <w:rsid w:val="00013654"/>
    <w:rsid w:val="00033217"/>
    <w:rsid w:val="0007721E"/>
    <w:rsid w:val="001370E0"/>
    <w:rsid w:val="00151CFC"/>
    <w:rsid w:val="00156C87"/>
    <w:rsid w:val="00212938"/>
    <w:rsid w:val="002649D1"/>
    <w:rsid w:val="002768ED"/>
    <w:rsid w:val="00290C10"/>
    <w:rsid w:val="002F3DB2"/>
    <w:rsid w:val="003506F0"/>
    <w:rsid w:val="003D1AF5"/>
    <w:rsid w:val="00416DC4"/>
    <w:rsid w:val="00417AD9"/>
    <w:rsid w:val="00454849"/>
    <w:rsid w:val="004A208C"/>
    <w:rsid w:val="004C4FE1"/>
    <w:rsid w:val="004D32FD"/>
    <w:rsid w:val="0050250F"/>
    <w:rsid w:val="0058048A"/>
    <w:rsid w:val="005D4445"/>
    <w:rsid w:val="005F1941"/>
    <w:rsid w:val="00610896"/>
    <w:rsid w:val="00612ED2"/>
    <w:rsid w:val="0062318E"/>
    <w:rsid w:val="00695540"/>
    <w:rsid w:val="006D20FC"/>
    <w:rsid w:val="006D7240"/>
    <w:rsid w:val="006F1DD7"/>
    <w:rsid w:val="007850EC"/>
    <w:rsid w:val="0079681D"/>
    <w:rsid w:val="007B6396"/>
    <w:rsid w:val="007C6DAD"/>
    <w:rsid w:val="00836A40"/>
    <w:rsid w:val="0089791E"/>
    <w:rsid w:val="00897B5C"/>
    <w:rsid w:val="008C2873"/>
    <w:rsid w:val="008C63BB"/>
    <w:rsid w:val="00920351"/>
    <w:rsid w:val="00944913"/>
    <w:rsid w:val="00945B41"/>
    <w:rsid w:val="0095497A"/>
    <w:rsid w:val="00A1030E"/>
    <w:rsid w:val="00A30AE7"/>
    <w:rsid w:val="00A6076A"/>
    <w:rsid w:val="00A62CFA"/>
    <w:rsid w:val="00A646C6"/>
    <w:rsid w:val="00A77C8B"/>
    <w:rsid w:val="00AA5262"/>
    <w:rsid w:val="00AA6420"/>
    <w:rsid w:val="00AB4FE6"/>
    <w:rsid w:val="00AD7186"/>
    <w:rsid w:val="00AE0E21"/>
    <w:rsid w:val="00AF66A0"/>
    <w:rsid w:val="00B80B72"/>
    <w:rsid w:val="00BD0613"/>
    <w:rsid w:val="00BD3F3C"/>
    <w:rsid w:val="00BE20DF"/>
    <w:rsid w:val="00C067C6"/>
    <w:rsid w:val="00C3375D"/>
    <w:rsid w:val="00C5626C"/>
    <w:rsid w:val="00CD3388"/>
    <w:rsid w:val="00CE2FE4"/>
    <w:rsid w:val="00CE3829"/>
    <w:rsid w:val="00D0561C"/>
    <w:rsid w:val="00D221F9"/>
    <w:rsid w:val="00D5148E"/>
    <w:rsid w:val="00D536A0"/>
    <w:rsid w:val="00D77A70"/>
    <w:rsid w:val="00D924AC"/>
    <w:rsid w:val="00E039BE"/>
    <w:rsid w:val="00E9106F"/>
    <w:rsid w:val="00EE1096"/>
    <w:rsid w:val="00EF40CB"/>
    <w:rsid w:val="00F378C6"/>
    <w:rsid w:val="00F42487"/>
    <w:rsid w:val="00F8177B"/>
    <w:rsid w:val="00F83166"/>
    <w:rsid w:val="00F85DC3"/>
    <w:rsid w:val="00F923B7"/>
    <w:rsid w:val="00F937D4"/>
    <w:rsid w:val="00F939AD"/>
    <w:rsid w:val="00FA0D3A"/>
    <w:rsid w:val="00FC508D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3375D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C3375D"/>
    <w:pPr>
      <w:suppressAutoHyphens/>
    </w:pPr>
    <w:rPr>
      <w:rFonts w:ascii="Swiss" w:eastAsia="Arial" w:hAnsi="Swiss"/>
      <w:color w:val="000000"/>
      <w:sz w:val="22"/>
      <w:lang w:eastAsia="ar-SA"/>
    </w:rPr>
  </w:style>
  <w:style w:type="paragraph" w:styleId="Sprechblasentext">
    <w:name w:val="Balloon Text"/>
    <w:basedOn w:val="Standard"/>
    <w:link w:val="SprechblasentextZchn"/>
    <w:rsid w:val="00C33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375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rsid w:val="006108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08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089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108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1089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61089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3375D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C3375D"/>
    <w:pPr>
      <w:suppressAutoHyphens/>
    </w:pPr>
    <w:rPr>
      <w:rFonts w:ascii="Swiss" w:eastAsia="Arial" w:hAnsi="Swiss"/>
      <w:color w:val="000000"/>
      <w:sz w:val="22"/>
      <w:lang w:eastAsia="ar-SA"/>
    </w:rPr>
  </w:style>
  <w:style w:type="paragraph" w:styleId="Sprechblasentext">
    <w:name w:val="Balloon Text"/>
    <w:basedOn w:val="Standard"/>
    <w:link w:val="SprechblasentextZchn"/>
    <w:rsid w:val="00C33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375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rsid w:val="006108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08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089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108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1089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6108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Tolksdorf, Kristin</dc:creator>
  <cp:lastModifiedBy>Rexroth, Ute</cp:lastModifiedBy>
  <cp:revision>2</cp:revision>
  <dcterms:created xsi:type="dcterms:W3CDTF">2020-04-08T08:24:00Z</dcterms:created>
  <dcterms:modified xsi:type="dcterms:W3CDTF">2020-04-08T08:24:00Z</dcterms:modified>
</cp:coreProperties>
</file>