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Überlastungsanzeigen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Cleary et al, “Efficient prevalence estimation and infected sample identification with group testing for SARS-CoV-2” </w:t>
            </w:r>
          </w:p>
        </w:tc>
        <w:tc>
          <w:tcPr>
            <w:tcW w:w="1810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RKI-Pressebriefing zum Anstieg von 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PEI/Hersteller Impfstoffe für Phase-2-Studien in Gegenden mit hoher Prävalenz (Ansprechpartner OW)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Anfrage Lufthansa nach der Wiederaufnahme der Ausweisung von Risikogebieten (Senat setzt grundsätzliche Quarantänepflicht für aus dem Ausland Einreisende außer Vollzug)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Umgang mit Amtshilfeersuchen </w:t>
            </w:r>
            <w:proofErr w:type="spellStart"/>
            <w:r>
              <w:t>bezügl</w:t>
            </w:r>
            <w:proofErr w:type="spellEnd"/>
            <w:r>
              <w:t>. Containment Scouts (Bundeswehr, Ärzte ohne Grenzen)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Schlachthof in LK Enzkreis/Pforzheim</w:t>
            </w:r>
            <w:r>
              <w:br/>
              <w:t xml:space="preserve">1) Amtshilfeersuchen wurde vom GA angekündigt, Gemeinschaftsunterkünfte werden von anderen Personen mitbelegt (Arbeitnehmende in anderen Branchen).  </w:t>
            </w:r>
            <w:r>
              <w:br/>
            </w:r>
            <w:r>
              <w:lastRenderedPageBreak/>
              <w:t>2) Weiteres Vorgehen/Absprache mit BMAS?</w:t>
            </w:r>
            <w:r>
              <w:rPr>
                <w:color w:val="4F81BD" w:themeColor="accent1"/>
              </w:rPr>
              <w:t xml:space="preserve">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>
            <w:r>
              <w:lastRenderedPageBreak/>
              <w:t>Alle</w:t>
            </w:r>
          </w:p>
          <w:p/>
          <w:p/>
          <w:p>
            <w:r>
              <w:t>FG33</w:t>
            </w:r>
          </w:p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Allgemein</w:t>
            </w:r>
            <w:r>
              <w:t xml:space="preserve">: 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RKI-intern: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Kritik konstruktiv nutzen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Thesenpapier Schrappe/Pfaff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Gemeinsame Stellungnahme der Arbeitsgruppe der nach den Internationalen Gesundheitsvorschriften (IGV) benannten Flughäfen zu Temperaturmessung und anderen Methoden an Flughäfen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Testkapazitäten nach Bundesland ausweisen?</w:t>
            </w:r>
          </w:p>
        </w:tc>
        <w:tc>
          <w:tcPr>
            <w:tcW w:w="1810" w:type="dxa"/>
          </w:tcPr>
          <w:p/>
          <w:p>
            <w:r>
              <w:t>Abt. 3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Karten 7T Inzidenz &gt;50/&gt;35 (Mirko Faber/Alexander Ullrich)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FG32 / FG 35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</w:p>
        </w:tc>
        <w:tc>
          <w:tcPr>
            <w:tcW w:w="1810" w:type="dxa"/>
          </w:tcPr>
          <w:p/>
          <w:p>
            <w:r>
              <w:t>FG32 /L1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Dienstag, den 13.05.2020, 11 Uhr, </w:t>
            </w:r>
            <w:r>
              <w:rPr>
                <w:sz w:val="22"/>
                <w:szCs w:val="22"/>
              </w:rPr>
              <w:t xml:space="preserve">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5491"/>
    <w:multiLevelType w:val="hybridMultilevel"/>
    <w:tmpl w:val="2B16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567"/>
    <w:multiLevelType w:val="hybridMultilevel"/>
    <w:tmpl w:val="73DAD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D659-41C9-4EB5-8C3E-3D90882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FF90-2BB3-49B3-8B9D-2D8F6CA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52</cp:revision>
  <cp:lastPrinted>2020-05-12T08:28:00Z</cp:lastPrinted>
  <dcterms:created xsi:type="dcterms:W3CDTF">2020-05-06T17:34:00Z</dcterms:created>
  <dcterms:modified xsi:type="dcterms:W3CDTF">2022-12-22T11:31:00Z</dcterms:modified>
</cp:coreProperties>
</file>