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F7" w:rsidRPr="00AA71F7" w:rsidRDefault="00AA71F7" w:rsidP="00AA71F7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32"/>
          <w:szCs w:val="52"/>
          <w:lang w:val="de-DE"/>
        </w:rPr>
      </w:pPr>
      <w:r w:rsidRPr="00AA71F7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40"/>
          <w:szCs w:val="52"/>
          <w:lang w:val="de-DE"/>
        </w:rPr>
        <w:t>COVID-19</w:t>
      </w:r>
      <w:r w:rsidRPr="00AA71F7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40"/>
          <w:szCs w:val="52"/>
          <w:lang w:val="de-DE"/>
        </w:rPr>
        <w:br/>
      </w:r>
      <w:r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32"/>
          <w:szCs w:val="52"/>
          <w:lang w:val="de-DE"/>
        </w:rPr>
        <w:t xml:space="preserve">Hinweise für Zusammenkünfte von Personen </w:t>
      </w:r>
      <w:r w:rsidR="00FC76ED"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32"/>
          <w:szCs w:val="52"/>
          <w:lang w:val="de-DE"/>
        </w:rPr>
        <w:t xml:space="preserve">nach </w:t>
      </w:r>
      <w:r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32"/>
          <w:szCs w:val="52"/>
          <w:lang w:val="de-DE"/>
        </w:rPr>
        <w:t>der Aufhebung von allgemeinen Kontaktbeschränkungen</w:t>
      </w:r>
    </w:p>
    <w:p w:rsidR="00057D96" w:rsidRPr="00687AB9" w:rsidRDefault="00B63548" w:rsidP="00057D96">
      <w:pPr>
        <w:pStyle w:val="NurText"/>
        <w:rPr>
          <w:b/>
          <w:color w:val="548DD4" w:themeColor="text2" w:themeTint="99"/>
          <w:lang w:val="de-DE"/>
        </w:rPr>
      </w:pPr>
      <w:r w:rsidRPr="00687AB9">
        <w:rPr>
          <w:b/>
          <w:color w:val="548DD4" w:themeColor="text2" w:themeTint="99"/>
          <w:lang w:val="de-DE"/>
        </w:rPr>
        <w:t>F</w:t>
      </w:r>
      <w:r w:rsidR="00AA71F7" w:rsidRPr="00687AB9">
        <w:rPr>
          <w:b/>
          <w:color w:val="548DD4" w:themeColor="text2" w:themeTint="99"/>
          <w:lang w:val="de-DE"/>
        </w:rPr>
        <w:t>ragestellung</w:t>
      </w:r>
      <w:r w:rsidR="00057D96" w:rsidRPr="00687AB9">
        <w:rPr>
          <w:b/>
          <w:color w:val="548DD4" w:themeColor="text2" w:themeTint="99"/>
          <w:lang w:val="de-DE"/>
        </w:rPr>
        <w:t>:</w:t>
      </w:r>
    </w:p>
    <w:p w:rsidR="00687AB9" w:rsidRDefault="00687AB9" w:rsidP="00057D96">
      <w:pPr>
        <w:pStyle w:val="NurText"/>
        <w:rPr>
          <w:lang w:val="de-DE"/>
        </w:rPr>
      </w:pPr>
    </w:p>
    <w:p w:rsidR="00057D96" w:rsidRPr="00057D96" w:rsidRDefault="00057D96" w:rsidP="00057D96">
      <w:pPr>
        <w:pStyle w:val="NurText"/>
        <w:rPr>
          <w:lang w:val="de-DE"/>
        </w:rPr>
      </w:pPr>
      <w:r w:rsidRPr="00057D96">
        <w:rPr>
          <w:lang w:val="de-DE"/>
        </w:rPr>
        <w:t>Wenn die Kontaktbeschränkungen aufgehoben werden, wie viele Leute/wie viele epidemiologische Einheiten können sich treffen?</w:t>
      </w:r>
    </w:p>
    <w:p w:rsidR="00057D96" w:rsidRPr="00057D96" w:rsidRDefault="00057D96" w:rsidP="00057D96">
      <w:pPr>
        <w:pStyle w:val="NurText"/>
        <w:rPr>
          <w:lang w:val="de-DE"/>
        </w:rPr>
      </w:pPr>
    </w:p>
    <w:p w:rsidR="00057D96" w:rsidRPr="00687AB9" w:rsidRDefault="00B63548" w:rsidP="00057D96">
      <w:pPr>
        <w:pStyle w:val="NurText"/>
        <w:rPr>
          <w:u w:val="single"/>
          <w:lang w:val="de-DE"/>
        </w:rPr>
      </w:pPr>
      <w:r w:rsidRPr="00687AB9">
        <w:rPr>
          <w:u w:val="single"/>
          <w:lang w:val="de-DE"/>
        </w:rPr>
        <w:t>Zusatzfragen:</w:t>
      </w:r>
    </w:p>
    <w:p w:rsidR="00687AB9" w:rsidRDefault="00687AB9" w:rsidP="00057D96">
      <w:pPr>
        <w:pStyle w:val="NurText"/>
        <w:rPr>
          <w:lang w:val="de-DE"/>
        </w:rPr>
      </w:pPr>
    </w:p>
    <w:p w:rsidR="00057D96" w:rsidRPr="00057D96" w:rsidRDefault="00057D96" w:rsidP="00057D96">
      <w:pPr>
        <w:pStyle w:val="NurText"/>
        <w:rPr>
          <w:lang w:val="de-DE"/>
        </w:rPr>
      </w:pPr>
      <w:r w:rsidRPr="00057D96">
        <w:rPr>
          <w:lang w:val="de-DE"/>
        </w:rPr>
        <w:t>o</w:t>
      </w:r>
      <w:r w:rsidRPr="00057D96">
        <w:rPr>
          <w:lang w:val="de-DE"/>
        </w:rPr>
        <w:tab/>
        <w:t xml:space="preserve">Wie viele Personen und Einheiten (z.B. 1 Haushalt) können sich treffen, welche Gruppengröße ist </w:t>
      </w:r>
      <w:r>
        <w:rPr>
          <w:lang w:val="de-DE"/>
        </w:rPr>
        <w:tab/>
      </w:r>
      <w:r w:rsidRPr="00057D96">
        <w:rPr>
          <w:lang w:val="de-DE"/>
        </w:rPr>
        <w:t>akzeptabel</w:t>
      </w:r>
      <w:r w:rsidR="00687AB9">
        <w:rPr>
          <w:lang w:val="de-DE"/>
        </w:rPr>
        <w:t>?</w:t>
      </w:r>
    </w:p>
    <w:p w:rsidR="00057D96" w:rsidRPr="00057D96" w:rsidRDefault="00057D96" w:rsidP="00057D96">
      <w:pPr>
        <w:pStyle w:val="NurText"/>
        <w:rPr>
          <w:lang w:val="de-DE"/>
        </w:rPr>
      </w:pPr>
      <w:r w:rsidRPr="00057D96">
        <w:rPr>
          <w:lang w:val="de-DE"/>
        </w:rPr>
        <w:t>o</w:t>
      </w:r>
      <w:r w:rsidRPr="00057D96">
        <w:rPr>
          <w:lang w:val="de-DE"/>
        </w:rPr>
        <w:tab/>
        <w:t>Unter welcher Abstandshaltung</w:t>
      </w:r>
      <w:r w:rsidR="00687AB9">
        <w:rPr>
          <w:lang w:val="de-DE"/>
        </w:rPr>
        <w:t>?</w:t>
      </w:r>
    </w:p>
    <w:p w:rsidR="00057D96" w:rsidRPr="00057D96" w:rsidRDefault="00057D96" w:rsidP="00057D96">
      <w:pPr>
        <w:pStyle w:val="NurText"/>
        <w:rPr>
          <w:lang w:val="de-DE"/>
        </w:rPr>
      </w:pPr>
      <w:r w:rsidRPr="00057D96">
        <w:rPr>
          <w:lang w:val="de-DE"/>
        </w:rPr>
        <w:t>o</w:t>
      </w:r>
      <w:r w:rsidRPr="00057D96">
        <w:rPr>
          <w:lang w:val="de-DE"/>
        </w:rPr>
        <w:tab/>
        <w:t>Unterscheidung, ob dies drinnen oder draußen ist</w:t>
      </w:r>
      <w:r w:rsidR="00687AB9">
        <w:rPr>
          <w:lang w:val="de-DE"/>
        </w:rPr>
        <w:t>?</w:t>
      </w:r>
    </w:p>
    <w:p w:rsidR="00057D96" w:rsidRPr="00057D96" w:rsidRDefault="00057D96" w:rsidP="00057D96">
      <w:pPr>
        <w:pStyle w:val="NurText"/>
        <w:rPr>
          <w:lang w:val="de-DE"/>
        </w:rPr>
      </w:pPr>
      <w:r w:rsidRPr="00057D96">
        <w:rPr>
          <w:lang w:val="de-DE"/>
        </w:rPr>
        <w:t>o</w:t>
      </w:r>
      <w:r w:rsidRPr="00057D96">
        <w:rPr>
          <w:lang w:val="de-DE"/>
        </w:rPr>
        <w:tab/>
        <w:t>Wie viele Quadratmeter pro Person in 1 Raum</w:t>
      </w:r>
      <w:r w:rsidR="00687AB9">
        <w:rPr>
          <w:lang w:val="de-DE"/>
        </w:rPr>
        <w:t>?</w:t>
      </w:r>
    </w:p>
    <w:p w:rsidR="00057D96" w:rsidRDefault="00057D96" w:rsidP="00057D96">
      <w:pPr>
        <w:pStyle w:val="NurText"/>
        <w:rPr>
          <w:lang w:val="de-DE"/>
        </w:rPr>
      </w:pPr>
      <w:r w:rsidRPr="00057D96">
        <w:rPr>
          <w:lang w:val="de-DE"/>
        </w:rPr>
        <w:t>o</w:t>
      </w:r>
      <w:r w:rsidRPr="00057D96">
        <w:rPr>
          <w:lang w:val="de-DE"/>
        </w:rPr>
        <w:tab/>
        <w:t xml:space="preserve">Alle Personen sollen im Falle eines Ausbruches hinterher identifizierbar sein (sich kennen bzw. </w:t>
      </w:r>
      <w:r>
        <w:rPr>
          <w:lang w:val="de-DE"/>
        </w:rPr>
        <w:tab/>
      </w:r>
      <w:r w:rsidRPr="00057D96">
        <w:rPr>
          <w:lang w:val="de-DE"/>
        </w:rPr>
        <w:t>kontaktierbar sein)</w:t>
      </w:r>
    </w:p>
    <w:p w:rsidR="00057D96" w:rsidRDefault="00057D96" w:rsidP="00057D96">
      <w:pPr>
        <w:pStyle w:val="NurText"/>
        <w:rPr>
          <w:lang w:val="de-DE"/>
        </w:rPr>
      </w:pPr>
    </w:p>
    <w:p w:rsidR="00057D96" w:rsidRDefault="00057D96" w:rsidP="00057D96">
      <w:pPr>
        <w:pStyle w:val="NurText"/>
        <w:rPr>
          <w:lang w:val="de-DE"/>
        </w:rPr>
      </w:pPr>
    </w:p>
    <w:p w:rsidR="00687AB9" w:rsidRDefault="00A63223" w:rsidP="00057D96">
      <w:pPr>
        <w:pStyle w:val="NurText"/>
        <w:rPr>
          <w:lang w:val="de-DE"/>
        </w:rPr>
      </w:pPr>
      <w:r w:rsidRPr="00687AB9">
        <w:rPr>
          <w:b/>
          <w:color w:val="548DD4" w:themeColor="text2" w:themeTint="99"/>
          <w:lang w:val="de-DE"/>
        </w:rPr>
        <w:t>Ziel</w:t>
      </w:r>
      <w:r w:rsidR="00FC76ED">
        <w:rPr>
          <w:b/>
          <w:color w:val="548DD4" w:themeColor="text2" w:themeTint="99"/>
          <w:lang w:val="de-DE"/>
        </w:rPr>
        <w:t>setzung</w:t>
      </w:r>
      <w:r w:rsidRPr="00687AB9">
        <w:rPr>
          <w:b/>
          <w:color w:val="548DD4" w:themeColor="text2" w:themeTint="99"/>
          <w:lang w:val="de-DE"/>
        </w:rPr>
        <w:t>:</w:t>
      </w:r>
    </w:p>
    <w:p w:rsidR="00687AB9" w:rsidRDefault="00687AB9" w:rsidP="00057D96">
      <w:pPr>
        <w:pStyle w:val="NurText"/>
        <w:rPr>
          <w:lang w:val="de-DE"/>
        </w:rPr>
      </w:pPr>
    </w:p>
    <w:p w:rsidR="00687AB9" w:rsidRDefault="00FC76ED" w:rsidP="00057D96">
      <w:pPr>
        <w:pStyle w:val="NurText"/>
        <w:rPr>
          <w:lang w:val="de-DE"/>
        </w:rPr>
      </w:pPr>
      <w:r>
        <w:rPr>
          <w:lang w:val="de-DE"/>
        </w:rPr>
        <w:t>I</w:t>
      </w:r>
      <w:r w:rsidR="00A63223">
        <w:rPr>
          <w:lang w:val="de-DE"/>
        </w:rPr>
        <w:t xml:space="preserve">) </w:t>
      </w:r>
      <w:r w:rsidR="00687AB9">
        <w:rPr>
          <w:lang w:val="de-DE"/>
        </w:rPr>
        <w:t>Transmissionsrisiko minimieren</w:t>
      </w:r>
    </w:p>
    <w:p w:rsidR="00256316" w:rsidRDefault="00FC76ED" w:rsidP="00057D96">
      <w:pPr>
        <w:pStyle w:val="NurText"/>
        <w:rPr>
          <w:lang w:val="de-DE"/>
        </w:rPr>
      </w:pPr>
      <w:r>
        <w:rPr>
          <w:lang w:val="de-DE"/>
        </w:rPr>
        <w:t>II</w:t>
      </w:r>
      <w:r w:rsidR="00A63223">
        <w:rPr>
          <w:lang w:val="de-DE"/>
        </w:rPr>
        <w:t>) Nachverfolgbarkeit von Kontaktpersonen beim Auftreten von Fällen</w:t>
      </w:r>
      <w:r>
        <w:rPr>
          <w:lang w:val="de-DE"/>
        </w:rPr>
        <w:t xml:space="preserve"> ermöglichen</w:t>
      </w:r>
    </w:p>
    <w:p w:rsidR="00A63223" w:rsidRDefault="00A63223" w:rsidP="00057D96">
      <w:pPr>
        <w:pStyle w:val="NurText"/>
        <w:rPr>
          <w:lang w:val="de-DE"/>
        </w:rPr>
      </w:pPr>
    </w:p>
    <w:p w:rsidR="00A63223" w:rsidRDefault="00687AB9" w:rsidP="00057D96">
      <w:pPr>
        <w:pStyle w:val="NurText"/>
        <w:rPr>
          <w:lang w:val="de-DE"/>
        </w:rPr>
      </w:pPr>
      <w:r>
        <w:rPr>
          <w:lang w:val="de-DE"/>
        </w:rPr>
        <w:t>Hierfür relevante f</w:t>
      </w:r>
      <w:r w:rsidR="00A63223">
        <w:rPr>
          <w:lang w:val="de-DE"/>
        </w:rPr>
        <w:t>achliche Grundlagen: 1) Transmissionswege; 2) Einflussfaktoren auf die Transmission; 3) Risikofaktoren</w:t>
      </w:r>
      <w:r>
        <w:rPr>
          <w:lang w:val="de-DE"/>
        </w:rPr>
        <w:t xml:space="preserve"> für einen schweren Erkrankungsverlauf</w:t>
      </w:r>
    </w:p>
    <w:p w:rsidR="00A63223" w:rsidRDefault="00A63223" w:rsidP="00057D96">
      <w:pPr>
        <w:pStyle w:val="NurText"/>
        <w:rPr>
          <w:lang w:val="de-DE"/>
        </w:rPr>
      </w:pPr>
    </w:p>
    <w:p w:rsidR="00A63223" w:rsidRDefault="00A63223" w:rsidP="00057D96">
      <w:pPr>
        <w:pStyle w:val="NurText"/>
        <w:rPr>
          <w:lang w:val="de-DE"/>
        </w:rPr>
      </w:pPr>
      <w:r w:rsidRPr="00687AB9">
        <w:rPr>
          <w:b/>
          <w:color w:val="548DD4" w:themeColor="text2" w:themeTint="99"/>
          <w:lang w:val="de-DE"/>
        </w:rPr>
        <w:t>Vorbemerkung:</w:t>
      </w:r>
      <w:r>
        <w:rPr>
          <w:lang w:val="de-DE"/>
        </w:rPr>
        <w:t xml:space="preserve"> Diese Hinweise  erlauben keine Aussage über das individuelle Infektionsrisiko, sondern dienen nur dazu</w:t>
      </w:r>
      <w:r w:rsidR="00687AB9">
        <w:rPr>
          <w:lang w:val="de-DE"/>
        </w:rPr>
        <w:t>,</w:t>
      </w:r>
      <w:r>
        <w:rPr>
          <w:lang w:val="de-DE"/>
        </w:rPr>
        <w:t xml:space="preserve"> die Ausbreitung des Virus in der Bevölkerung zu verlangsamen und Kontaktpersonen zu aufgetretenen Fällen so rasch wie möglich zu identifizieren.</w:t>
      </w:r>
    </w:p>
    <w:p w:rsidR="006F53A0" w:rsidRDefault="006F53A0" w:rsidP="00057D96">
      <w:pPr>
        <w:pStyle w:val="NurText"/>
        <w:rPr>
          <w:lang w:val="de-DE"/>
        </w:rPr>
      </w:pPr>
    </w:p>
    <w:p w:rsidR="00762D9C" w:rsidRPr="00687AB9" w:rsidRDefault="006F53A0" w:rsidP="00057D96">
      <w:pPr>
        <w:pStyle w:val="NurText"/>
        <w:rPr>
          <w:b/>
          <w:color w:val="548DD4" w:themeColor="text2" w:themeTint="99"/>
          <w:lang w:val="de-DE"/>
        </w:rPr>
      </w:pPr>
      <w:r w:rsidRPr="00687AB9">
        <w:rPr>
          <w:b/>
          <w:color w:val="548DD4" w:themeColor="text2" w:themeTint="99"/>
          <w:lang w:val="de-DE"/>
        </w:rPr>
        <w:t>Infektionsepidemiologische und -hygienische Hinweise</w:t>
      </w:r>
    </w:p>
    <w:p w:rsidR="006F53A0" w:rsidRPr="00C110B2" w:rsidRDefault="006F53A0" w:rsidP="00762D9C">
      <w:pPr>
        <w:pStyle w:val="NurText"/>
        <w:numPr>
          <w:ilvl w:val="0"/>
          <w:numId w:val="1"/>
        </w:numPr>
        <w:rPr>
          <w:lang w:val="de-DE"/>
        </w:rPr>
      </w:pPr>
      <w:r>
        <w:rPr>
          <w:lang w:val="de-DE"/>
        </w:rPr>
        <w:t>Bei der Entscheidung über eine Teilnahme an Veranstaltungen im öffentlichen Raum sollte</w:t>
      </w:r>
      <w:r w:rsidR="006C27BF">
        <w:rPr>
          <w:lang w:val="de-DE"/>
        </w:rPr>
        <w:t>,</w:t>
      </w:r>
      <w:r w:rsidR="006C27BF" w:rsidRPr="006C27BF">
        <w:rPr>
          <w:highlight w:val="yellow"/>
          <w:lang w:val="de-DE"/>
        </w:rPr>
        <w:t xml:space="preserve"> </w:t>
      </w:r>
      <w:r w:rsidR="006C27BF" w:rsidRPr="00C110B2">
        <w:rPr>
          <w:lang w:val="de-DE"/>
        </w:rPr>
        <w:t xml:space="preserve">insbesondere  bei vorbestehenden </w:t>
      </w:r>
      <w:proofErr w:type="spellStart"/>
      <w:r w:rsidR="006C27BF" w:rsidRPr="00C110B2">
        <w:rPr>
          <w:lang w:val="de-DE"/>
        </w:rPr>
        <w:t>Grunderkankungen</w:t>
      </w:r>
      <w:proofErr w:type="spellEnd"/>
      <w:r w:rsidR="006C27BF" w:rsidRPr="00C110B2">
        <w:rPr>
          <w:lang w:val="de-DE"/>
        </w:rPr>
        <w:t xml:space="preserve">, </w:t>
      </w:r>
      <w:r w:rsidRPr="00C110B2">
        <w:rPr>
          <w:lang w:val="de-DE"/>
        </w:rPr>
        <w:t>eine individuelle Risiko-Nutzen Abwägung erfolgen, evtl. unter Hinzuziehung der behandelnden Ärztin/Arzt</w:t>
      </w:r>
    </w:p>
    <w:p w:rsidR="00C110B2" w:rsidRDefault="00762D9C">
      <w:pPr>
        <w:pStyle w:val="NurText"/>
        <w:numPr>
          <w:ilvl w:val="0"/>
          <w:numId w:val="1"/>
        </w:numPr>
        <w:rPr>
          <w:lang w:val="de-DE"/>
        </w:rPr>
      </w:pPr>
      <w:r w:rsidRPr="00C110B2">
        <w:rPr>
          <w:lang w:val="de-DE"/>
        </w:rPr>
        <w:t xml:space="preserve">Grundsätzlich gilt sowohl in Innenräumen wie im Freien weiterhin das Mindestabstandsgebot von &gt;1,5 m (d. h. </w:t>
      </w:r>
      <w:r w:rsidR="00C110B2" w:rsidRPr="00C110B2">
        <w:rPr>
          <w:lang w:val="de-DE"/>
        </w:rPr>
        <w:t xml:space="preserve">minimaler Platzbedarf </w:t>
      </w:r>
      <w:r w:rsidR="00D45BB1" w:rsidRPr="00C110B2">
        <w:rPr>
          <w:lang w:val="de-DE"/>
        </w:rPr>
        <w:t>unter der Annahme einer gleichmäßigen Verteilung der Personen</w:t>
      </w:r>
      <w:r w:rsidR="00BE52A0" w:rsidRPr="00C110B2">
        <w:rPr>
          <w:lang w:val="de-DE"/>
        </w:rPr>
        <w:t>:</w:t>
      </w:r>
      <w:r w:rsidR="00D45BB1" w:rsidRPr="00C110B2">
        <w:rPr>
          <w:lang w:val="de-DE"/>
        </w:rPr>
        <w:t xml:space="preserve"> </w:t>
      </w:r>
      <w:r w:rsidRPr="00C110B2">
        <w:rPr>
          <w:lang w:val="de-DE"/>
        </w:rPr>
        <w:t xml:space="preserve">etwa </w:t>
      </w:r>
      <w:r w:rsidR="006C27BF" w:rsidRPr="00C110B2">
        <w:rPr>
          <w:lang w:val="de-DE"/>
        </w:rPr>
        <w:t xml:space="preserve">6 </w:t>
      </w:r>
      <w:r w:rsidRPr="00C110B2">
        <w:rPr>
          <w:lang w:val="de-DE"/>
        </w:rPr>
        <w:t>m</w:t>
      </w:r>
      <w:r w:rsidRPr="00C110B2">
        <w:rPr>
          <w:vertAlign w:val="superscript"/>
          <w:lang w:val="de-DE"/>
        </w:rPr>
        <w:t>2</w:t>
      </w:r>
      <w:r w:rsidRPr="00C110B2">
        <w:rPr>
          <w:lang w:val="de-DE"/>
        </w:rPr>
        <w:t xml:space="preserve"> pro Person</w:t>
      </w:r>
      <w:r w:rsidR="00C110B2">
        <w:rPr>
          <w:lang w:val="de-DE"/>
        </w:rPr>
        <w:t>)</w:t>
      </w:r>
    </w:p>
    <w:p w:rsidR="00762D9C" w:rsidRPr="00C110B2" w:rsidRDefault="003B21A8">
      <w:pPr>
        <w:pStyle w:val="NurText"/>
        <w:numPr>
          <w:ilvl w:val="0"/>
          <w:numId w:val="1"/>
        </w:numPr>
        <w:rPr>
          <w:lang w:val="de-DE"/>
        </w:rPr>
      </w:pPr>
      <w:r w:rsidRPr="00C110B2">
        <w:rPr>
          <w:lang w:val="de-DE"/>
        </w:rPr>
        <w:t xml:space="preserve">Wenn der Abstand nicht </w:t>
      </w:r>
      <w:r w:rsidR="005A127F" w:rsidRPr="00C110B2">
        <w:rPr>
          <w:lang w:val="de-DE"/>
        </w:rPr>
        <w:t xml:space="preserve">immer </w:t>
      </w:r>
      <w:r w:rsidRPr="00C110B2">
        <w:rPr>
          <w:lang w:val="de-DE"/>
        </w:rPr>
        <w:t>eingehalten werden kann, sollten alle beteiligten Personen eine Mund-Nasenbedeckung tragen</w:t>
      </w:r>
    </w:p>
    <w:p w:rsidR="003B21A8" w:rsidRDefault="007466AA" w:rsidP="00762D9C">
      <w:pPr>
        <w:pStyle w:val="NurTex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Beim Aufenthalt in Räumen empfiehlt sich </w:t>
      </w:r>
      <w:r w:rsidR="00BE52A0">
        <w:rPr>
          <w:lang w:val="de-DE"/>
        </w:rPr>
        <w:t xml:space="preserve">grundsätzlich </w:t>
      </w:r>
      <w:r>
        <w:rPr>
          <w:lang w:val="de-DE"/>
        </w:rPr>
        <w:t>das Tragen einer Mund-Nasen-Bedeckung, um die Abscheidung von Tröpfchen zu minimieren</w:t>
      </w:r>
    </w:p>
    <w:p w:rsidR="00C110B2" w:rsidRDefault="00C110B2" w:rsidP="00C110B2">
      <w:pPr>
        <w:pStyle w:val="NurText"/>
        <w:rPr>
          <w:lang w:val="de-DE"/>
        </w:rPr>
      </w:pPr>
    </w:p>
    <w:p w:rsidR="00C110B2" w:rsidRDefault="00C110B2" w:rsidP="00C110B2">
      <w:pPr>
        <w:pStyle w:val="NurText"/>
        <w:rPr>
          <w:lang w:val="de-DE"/>
        </w:rPr>
      </w:pPr>
    </w:p>
    <w:p w:rsidR="00C110B2" w:rsidRDefault="00C110B2" w:rsidP="00C110B2">
      <w:pPr>
        <w:pStyle w:val="NurText"/>
        <w:rPr>
          <w:lang w:val="de-DE"/>
        </w:rPr>
      </w:pPr>
    </w:p>
    <w:p w:rsidR="006F53A0" w:rsidRDefault="006F53A0" w:rsidP="00762D9C">
      <w:pPr>
        <w:pStyle w:val="NurText"/>
        <w:numPr>
          <w:ilvl w:val="0"/>
          <w:numId w:val="1"/>
        </w:numPr>
        <w:rPr>
          <w:lang w:val="de-DE"/>
        </w:rPr>
      </w:pPr>
      <w:r>
        <w:rPr>
          <w:lang w:val="de-DE"/>
        </w:rPr>
        <w:lastRenderedPageBreak/>
        <w:t xml:space="preserve">Im Frühjahr und Sommer tragen saisonale Effekte (relative Luftfeuchte, Temperatur, Sonneneinstrahlung, etc.), insbesondere bei Veranstaltungen im Freien, vermutlich zu einem geringeren Transmissionsrisiko von SARS-CoV-2 </w:t>
      </w:r>
      <w:r w:rsidR="00D45BB1">
        <w:rPr>
          <w:lang w:val="de-DE"/>
        </w:rPr>
        <w:t xml:space="preserve">durch </w:t>
      </w:r>
      <w:proofErr w:type="spellStart"/>
      <w:r w:rsidR="00D45BB1">
        <w:rPr>
          <w:lang w:val="de-DE"/>
        </w:rPr>
        <w:t>aerogene</w:t>
      </w:r>
      <w:proofErr w:type="spellEnd"/>
      <w:r w:rsidR="00D45BB1">
        <w:rPr>
          <w:lang w:val="de-DE"/>
        </w:rPr>
        <w:t xml:space="preserve"> Übertragung </w:t>
      </w:r>
      <w:r>
        <w:rPr>
          <w:lang w:val="de-DE"/>
        </w:rPr>
        <w:t>bei</w:t>
      </w:r>
      <w:r w:rsidR="00D45BB1">
        <w:rPr>
          <w:lang w:val="de-DE"/>
        </w:rPr>
        <w:t>, die Hauptübertragungswege unter diesen Bedingungen sind direkte Tröpfchen- und Kontaktinfektionen.</w:t>
      </w:r>
    </w:p>
    <w:p w:rsidR="006F53A0" w:rsidRDefault="006F53A0" w:rsidP="006F53A0">
      <w:pPr>
        <w:pStyle w:val="NurText"/>
        <w:rPr>
          <w:lang w:val="de-DE"/>
        </w:rPr>
      </w:pPr>
    </w:p>
    <w:p w:rsidR="006F53A0" w:rsidRPr="00687AB9" w:rsidRDefault="006F53A0" w:rsidP="006F53A0">
      <w:pPr>
        <w:pStyle w:val="NurText"/>
        <w:rPr>
          <w:b/>
          <w:color w:val="548DD4" w:themeColor="text2" w:themeTint="99"/>
          <w:lang w:val="de-DE"/>
        </w:rPr>
      </w:pPr>
      <w:r w:rsidRPr="00687AB9">
        <w:rPr>
          <w:b/>
          <w:color w:val="548DD4" w:themeColor="text2" w:themeTint="99"/>
          <w:lang w:val="de-DE"/>
        </w:rPr>
        <w:t>Organisatorische Hinweise</w:t>
      </w:r>
    </w:p>
    <w:p w:rsidR="00057D96" w:rsidRDefault="007466AA" w:rsidP="00057D96">
      <w:pPr>
        <w:pStyle w:val="NurTex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Bei </w:t>
      </w:r>
      <w:r w:rsidR="002E5003">
        <w:rPr>
          <w:lang w:val="de-DE"/>
        </w:rPr>
        <w:t xml:space="preserve">privaten </w:t>
      </w:r>
      <w:r>
        <w:rPr>
          <w:lang w:val="de-DE"/>
        </w:rPr>
        <w:t xml:space="preserve">Veranstaltungen sollten Namen und Kontaktdaten aller Teilnehmer*innen dem Veranstalter </w:t>
      </w:r>
      <w:r w:rsidR="005A127F">
        <w:rPr>
          <w:lang w:val="de-DE"/>
        </w:rPr>
        <w:t>bekannt sein, bei mehr als 10 Personen dokumentiert werden</w:t>
      </w:r>
      <w:r>
        <w:rPr>
          <w:lang w:val="de-DE"/>
        </w:rPr>
        <w:t xml:space="preserve"> und die Gruppengröße 50 Personen nicht überschreiten, um beim Auftreten von Fällen alle Kontaktpersonen möglichst rasch kontaktieren zu können</w:t>
      </w:r>
    </w:p>
    <w:p w:rsidR="00D45BB1" w:rsidRDefault="002E5003" w:rsidP="00D45BB1">
      <w:pPr>
        <w:pStyle w:val="NurTex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Bei kommerziellen Veranstaltungen, sollten die Namen und Kontaktdaten aller Teilnehmer*innen elektronisch beim Veranstalter hinterlegt und es sollte eine </w:t>
      </w:r>
      <w:proofErr w:type="spellStart"/>
      <w:r>
        <w:rPr>
          <w:lang w:val="de-DE"/>
        </w:rPr>
        <w:t>Kohortierung</w:t>
      </w:r>
      <w:proofErr w:type="spellEnd"/>
      <w:r>
        <w:rPr>
          <w:lang w:val="de-DE"/>
        </w:rPr>
        <w:t xml:space="preserve"> der Teilnehmenden in Gr</w:t>
      </w:r>
      <w:r w:rsidR="006F53A0">
        <w:rPr>
          <w:lang w:val="de-DE"/>
        </w:rPr>
        <w:t>uppen von 50 Personen erfolgen</w:t>
      </w:r>
    </w:p>
    <w:p w:rsidR="00347A63" w:rsidRDefault="00D45BB1" w:rsidP="00687AB9">
      <w:pPr>
        <w:pStyle w:val="NurTex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Bereits bei der Planung ist eine enge Zusammenarbeit mit dem Gesundheitsamt empfohlen, das </w:t>
      </w:r>
      <w:r w:rsidR="00BE52A0">
        <w:rPr>
          <w:lang w:val="de-DE"/>
        </w:rPr>
        <w:t xml:space="preserve">über </w:t>
      </w:r>
      <w:r>
        <w:rPr>
          <w:lang w:val="de-DE"/>
        </w:rPr>
        <w:t>die Gruppengröße und die Gesamtzahl der Teilnehmenden entsprechend der aktuell vor Ort verfügbaren Ressourcen</w:t>
      </w:r>
      <w:r w:rsidR="00F34A24">
        <w:rPr>
          <w:lang w:val="de-DE"/>
        </w:rPr>
        <w:t>, der Art der Veranstaltung und Zusammensetzung der Teilnehmenden</w:t>
      </w:r>
      <w:r w:rsidR="00687AB9">
        <w:rPr>
          <w:lang w:val="de-DE"/>
        </w:rPr>
        <w:t xml:space="preserve"> entscheidet </w:t>
      </w:r>
      <w:r w:rsidR="00687AB9" w:rsidRPr="00314F95">
        <w:rPr>
          <w:lang w:val="de-DE"/>
        </w:rPr>
        <w:t xml:space="preserve">(s. auch „Allgemeine Prinzipien der Risikoeinschätzung </w:t>
      </w:r>
      <w:bookmarkStart w:id="0" w:name="_GoBack"/>
      <w:bookmarkEnd w:id="0"/>
      <w:r w:rsidR="00687AB9" w:rsidRPr="00314F95">
        <w:rPr>
          <w:lang w:val="de-DE"/>
        </w:rPr>
        <w:t>und ‎Handlungsempfehlung für Veranstaltungen“, Stand 19.05.2020)</w:t>
      </w:r>
    </w:p>
    <w:p w:rsidR="00347A63" w:rsidRDefault="00347A63" w:rsidP="00347A63">
      <w:pPr>
        <w:pStyle w:val="NurText"/>
        <w:ind w:left="720"/>
        <w:rPr>
          <w:lang w:val="de-DE"/>
        </w:rPr>
      </w:pPr>
    </w:p>
    <w:p w:rsidR="00347A63" w:rsidRDefault="00347A63" w:rsidP="00347A63">
      <w:pPr>
        <w:pStyle w:val="NurText"/>
        <w:ind w:left="360"/>
        <w:rPr>
          <w:lang w:val="de-DE"/>
        </w:rPr>
      </w:pPr>
    </w:p>
    <w:p w:rsidR="00347A63" w:rsidRDefault="00347A63" w:rsidP="00347A63">
      <w:pPr>
        <w:pStyle w:val="NurText"/>
        <w:ind w:left="360"/>
        <w:rPr>
          <w:lang w:val="de-DE"/>
        </w:rPr>
      </w:pPr>
      <w:r>
        <w:rPr>
          <w:lang w:val="de-DE"/>
        </w:rPr>
        <w:t>Abbildung 1</w:t>
      </w:r>
    </w:p>
    <w:p w:rsidR="00C110B2" w:rsidRDefault="00C110B2" w:rsidP="00347A63">
      <w:pPr>
        <w:pStyle w:val="NurText"/>
        <w:ind w:left="360"/>
        <w:rPr>
          <w:lang w:val="de-DE"/>
        </w:rPr>
      </w:pPr>
    </w:p>
    <w:p w:rsidR="00347A63" w:rsidRDefault="00C110B2" w:rsidP="00347A63">
      <w:pPr>
        <w:pStyle w:val="NurText"/>
        <w:ind w:left="360"/>
        <w:rPr>
          <w:lang w:val="de-DE"/>
        </w:rPr>
      </w:pPr>
      <w:r>
        <w:rPr>
          <w:noProof/>
          <w:lang w:val="de-DE" w:eastAsia="de-DE"/>
        </w:rPr>
        <w:drawing>
          <wp:inline distT="0" distB="0" distL="0" distR="0">
            <wp:extent cx="5972810" cy="4358005"/>
            <wp:effectExtent l="0" t="0" r="889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ächeproPerson_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3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A63" w:rsidRDefault="00347A63" w:rsidP="00347A63">
      <w:pPr>
        <w:pStyle w:val="NurText"/>
        <w:ind w:left="360"/>
        <w:rPr>
          <w:lang w:val="de-DE"/>
        </w:rPr>
      </w:pPr>
      <w:r>
        <w:rPr>
          <w:lang w:val="de-DE"/>
        </w:rPr>
        <w:lastRenderedPageBreak/>
        <w:t>Abbildung 2</w:t>
      </w:r>
    </w:p>
    <w:p w:rsidR="00C110B2" w:rsidRDefault="00C110B2" w:rsidP="00347A63">
      <w:pPr>
        <w:pStyle w:val="NurText"/>
        <w:ind w:left="360"/>
        <w:rPr>
          <w:lang w:val="de-DE"/>
        </w:rPr>
      </w:pPr>
    </w:p>
    <w:p w:rsidR="00FF51C5" w:rsidRPr="00FF51C5" w:rsidRDefault="00347A63" w:rsidP="00347A63">
      <w:pPr>
        <w:pStyle w:val="NurText"/>
        <w:rPr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372F9C2A" wp14:editId="3886DAEA">
            <wp:extent cx="5972810" cy="4404360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ächeproPerson_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3A0" w:rsidRPr="007466AA" w:rsidRDefault="006F53A0" w:rsidP="006F53A0">
      <w:pPr>
        <w:pStyle w:val="NurText"/>
        <w:ind w:left="720"/>
        <w:rPr>
          <w:lang w:val="de-DE"/>
        </w:rPr>
      </w:pPr>
    </w:p>
    <w:p w:rsidR="000B4B04" w:rsidRPr="00057D96" w:rsidRDefault="00314F95">
      <w:pPr>
        <w:rPr>
          <w:lang w:val="de-DE"/>
        </w:rPr>
      </w:pPr>
    </w:p>
    <w:sectPr w:rsidR="000B4B04" w:rsidRPr="00057D9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B7487"/>
    <w:multiLevelType w:val="hybridMultilevel"/>
    <w:tmpl w:val="52DA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thar.wieler@t-online.de">
    <w15:presenceInfo w15:providerId="Windows Live" w15:userId="01a652078ae32b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96"/>
    <w:rsid w:val="00057D96"/>
    <w:rsid w:val="00060F50"/>
    <w:rsid w:val="00150135"/>
    <w:rsid w:val="00256316"/>
    <w:rsid w:val="002E5003"/>
    <w:rsid w:val="00314F95"/>
    <w:rsid w:val="00330DF4"/>
    <w:rsid w:val="00347A63"/>
    <w:rsid w:val="003B21A8"/>
    <w:rsid w:val="004F68B6"/>
    <w:rsid w:val="005A127F"/>
    <w:rsid w:val="00687AB9"/>
    <w:rsid w:val="006C27BF"/>
    <w:rsid w:val="006F53A0"/>
    <w:rsid w:val="007466AA"/>
    <w:rsid w:val="00762D9C"/>
    <w:rsid w:val="0076664E"/>
    <w:rsid w:val="007F2256"/>
    <w:rsid w:val="009337B3"/>
    <w:rsid w:val="00A63223"/>
    <w:rsid w:val="00AA71F7"/>
    <w:rsid w:val="00B17A4B"/>
    <w:rsid w:val="00B63548"/>
    <w:rsid w:val="00BE52A0"/>
    <w:rsid w:val="00C110B2"/>
    <w:rsid w:val="00C461C2"/>
    <w:rsid w:val="00C5437B"/>
    <w:rsid w:val="00D45BB1"/>
    <w:rsid w:val="00DE5382"/>
    <w:rsid w:val="00F34A24"/>
    <w:rsid w:val="00F412B2"/>
    <w:rsid w:val="00FC265C"/>
    <w:rsid w:val="00FC76ED"/>
    <w:rsid w:val="00FD1A4B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057D96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57D96"/>
    <w:rPr>
      <w:rFonts w:ascii="Calibri" w:hAnsi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3B21A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21A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53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53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53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53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5382"/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AA71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AA71F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057D96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57D96"/>
    <w:rPr>
      <w:rFonts w:ascii="Calibri" w:hAnsi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3B21A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21A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53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53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53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53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5382"/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AA71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AA71F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Haas, Walter</dc:creator>
  <cp:lastModifiedBy>Hilbig, Antonia</cp:lastModifiedBy>
  <cp:revision>3</cp:revision>
  <dcterms:created xsi:type="dcterms:W3CDTF">2020-05-24T17:50:00Z</dcterms:created>
  <dcterms:modified xsi:type="dcterms:W3CDTF">2020-05-24T17:52:00Z</dcterms:modified>
</cp:coreProperties>
</file>