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22.05.2020, 11:00Uhr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 xml:space="preserve">Virtueller Konferenzraum </w:t>
          </w:r>
          <w:proofErr w:type="spellStart"/>
          <w:r>
            <w:rPr>
              <w:i/>
              <w:sz w:val="22"/>
              <w:szCs w:val="22"/>
            </w:rPr>
            <w:t>Vitero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FG36, FG37, AL3, IBBS, ZBS1, ZBS-L, </w:t>
          </w:r>
          <w:r>
            <w:rPr>
              <w:b/>
              <w:i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676"/>
        <w:gridCol w:w="1541"/>
      </w:tblGrid>
      <w:tr>
        <w:tc>
          <w:tcPr>
            <w:tcW w:w="477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746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956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477" w:type="dxa"/>
          </w:tcPr>
          <w:p>
            <w:r>
              <w:t>1</w:t>
            </w:r>
          </w:p>
        </w:tc>
        <w:tc>
          <w:tcPr>
            <w:tcW w:w="746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Prognosetool ITS-Betten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Ausbrüche in Schlachthäusern: ausschließlich Wohnumstände wichtig oder auch Arbeitsumfeld (Temperatur, Feuchtigkeit, Aerosole)?</w:t>
            </w:r>
          </w:p>
        </w:tc>
        <w:tc>
          <w:tcPr>
            <w:tcW w:w="956" w:type="dxa"/>
          </w:tcPr>
          <w:p/>
          <w:p>
            <w:r>
              <w:t>ZIG1</w:t>
            </w:r>
          </w:p>
          <w:p/>
          <w:p>
            <w:r>
              <w:t>FG32</w:t>
            </w:r>
            <w:r>
              <w:br/>
              <w:t>Eckmanns</w:t>
            </w:r>
          </w:p>
          <w:p>
            <w:r>
              <w:t>Wieler</w:t>
            </w:r>
          </w:p>
        </w:tc>
      </w:tr>
      <w:tr>
        <w:tc>
          <w:tcPr>
            <w:tcW w:w="477" w:type="dxa"/>
          </w:tcPr>
          <w:p>
            <w:r>
              <w:t>2</w:t>
            </w:r>
          </w:p>
        </w:tc>
        <w:tc>
          <w:tcPr>
            <w:tcW w:w="746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>Quarantäne- und Einreisebestimmungen der Bundesländer mit Verweis auf Einschätzungen des RKI (EU und außerhalb EU)</w:t>
            </w:r>
          </w:p>
        </w:tc>
        <w:tc>
          <w:tcPr>
            <w:tcW w:w="956" w:type="dxa"/>
          </w:tcPr>
          <w:p>
            <w:r>
              <w:t>ZIG</w:t>
            </w:r>
          </w:p>
          <w:p>
            <w:r>
              <w:t>ZIG/ FG32</w:t>
            </w:r>
          </w:p>
        </w:tc>
      </w:tr>
      <w:tr>
        <w:tc>
          <w:tcPr>
            <w:tcW w:w="477" w:type="dxa"/>
          </w:tcPr>
          <w:p>
            <w:r>
              <w:t>3</w:t>
            </w:r>
          </w:p>
        </w:tc>
        <w:tc>
          <w:tcPr>
            <w:tcW w:w="746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956" w:type="dxa"/>
          </w:tcPr>
          <w:p>
            <w:r>
              <w:t>Schmich</w:t>
            </w:r>
          </w:p>
        </w:tc>
      </w:tr>
      <w:tr>
        <w:tc>
          <w:tcPr>
            <w:tcW w:w="477" w:type="dxa"/>
          </w:tcPr>
          <w:p>
            <w:r>
              <w:t>4</w:t>
            </w:r>
          </w:p>
        </w:tc>
        <w:tc>
          <w:tcPr>
            <w:tcW w:w="7468" w:type="dxa"/>
          </w:tcPr>
          <w:p>
            <w:pPr>
              <w:rPr>
                <w:b/>
              </w:rPr>
            </w:pPr>
            <w:r>
              <w:rPr>
                <w:b/>
              </w:rPr>
              <w:t>Neue wissenschaftliche Erkenntnisse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>Studienergebnisse</w:t>
            </w:r>
          </w:p>
        </w:tc>
        <w:tc>
          <w:tcPr>
            <w:tcW w:w="956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477" w:type="dxa"/>
          </w:tcPr>
          <w:p>
            <w:r>
              <w:t>5</w:t>
            </w:r>
          </w:p>
        </w:tc>
        <w:tc>
          <w:tcPr>
            <w:tcW w:w="746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Überarbeitung des Textes der Risikobewertung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lang w:val="en-US"/>
              </w:rPr>
            </w:pPr>
            <w:r>
              <w:rPr>
                <w:lang w:val="en-US"/>
              </w:rPr>
              <w:t xml:space="preserve">Definition „Community </w:t>
            </w:r>
            <w:proofErr w:type="gramStart"/>
            <w:r>
              <w:rPr>
                <w:lang w:val="en-US"/>
              </w:rPr>
              <w:t>transmission“ /</w:t>
            </w:r>
            <w:proofErr w:type="gramEnd"/>
            <w:r>
              <w:rPr>
                <w:lang w:val="en-US"/>
              </w:rPr>
              <w:t xml:space="preserve"> level of transmission at subnational level (E-Mail Hr. Haas 21.5. 22:41 und </w:t>
            </w:r>
            <w:proofErr w:type="spellStart"/>
            <w:r>
              <w:rPr>
                <w:lang w:val="en-US"/>
              </w:rPr>
              <w:t>Verlauf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956" w:type="dxa"/>
          </w:tcPr>
          <w:p>
            <w:pPr>
              <w:rPr>
                <w:lang w:val="en-US"/>
              </w:rPr>
            </w:pPr>
          </w:p>
          <w:p>
            <w:r>
              <w:t>Abt.3</w:t>
            </w:r>
          </w:p>
        </w:tc>
      </w:tr>
      <w:tr>
        <w:tc>
          <w:tcPr>
            <w:tcW w:w="477" w:type="dxa"/>
          </w:tcPr>
          <w:p>
            <w:r>
              <w:t>6</w:t>
            </w:r>
          </w:p>
        </w:tc>
        <w:tc>
          <w:tcPr>
            <w:tcW w:w="746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Medienpräsenz der </w:t>
            </w:r>
            <w:proofErr w:type="spellStart"/>
            <w:r>
              <w:t>SeBluCo</w:t>
            </w:r>
            <w:proofErr w:type="spellEnd"/>
            <w:r>
              <w:t>-Studie (Blutspender-</w:t>
            </w:r>
            <w:proofErr w:type="spellStart"/>
            <w:r>
              <w:t>Seroprävalenzstudie</w:t>
            </w:r>
            <w:proofErr w:type="spellEnd"/>
            <w:r>
              <w:t>)</w:t>
            </w:r>
          </w:p>
        </w:tc>
        <w:tc>
          <w:tcPr>
            <w:tcW w:w="956" w:type="dxa"/>
          </w:tcPr>
          <w:p/>
          <w:p>
            <w:commentRangeStart w:id="0"/>
            <w:r>
              <w:t>FG34</w:t>
            </w:r>
            <w:commentRangeEnd w:id="0"/>
            <w:r>
              <w:rPr>
                <w:rStyle w:val="Kommentarzeichen"/>
              </w:rPr>
              <w:commentReference w:id="0"/>
            </w:r>
          </w:p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77" w:type="dxa"/>
          </w:tcPr>
          <w:p>
            <w:r>
              <w:t>7</w:t>
            </w:r>
          </w:p>
        </w:tc>
        <w:tc>
          <w:tcPr>
            <w:tcW w:w="746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Wiederzulassung </w:t>
            </w:r>
            <w:proofErr w:type="gramStart"/>
            <w:r>
              <w:t>von erkrankten Schüler</w:t>
            </w:r>
            <w:proofErr w:type="gramEnd"/>
            <w:r>
              <w:t xml:space="preserve">*innen (s. </w:t>
            </w:r>
            <w:r>
              <w:lastRenderedPageBreak/>
              <w:t>Email Mielke vom Mi 20.05.2020 11:55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Verkürzung der Quarantänezeit (s. Email Wieler vom Mi 20.05.2020 07:07)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Empfehlungen zu Treffen nach Lockerungen (wie viele Personen und Einheiten (z.B. 1 Haushalt) können sich treffen, welche Gruppengröße ist akzeptabel, …)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t>Umgang mit inhaltlichen Eingriffen durch die Politik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t>Rolle von und Austausch mit RKI-Liaison im BMG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t>Kommunikationswege RKI-BMG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t>Update ÖGD-Kontaktstelle</w:t>
            </w:r>
          </w:p>
        </w:tc>
        <w:tc>
          <w:tcPr>
            <w:tcW w:w="956" w:type="dxa"/>
          </w:tcPr>
          <w:p/>
          <w:p/>
          <w:p>
            <w:r>
              <w:t>Wieler</w:t>
            </w:r>
          </w:p>
          <w:p/>
          <w:p>
            <w:r>
              <w:t>Rexroth</w:t>
            </w:r>
          </w:p>
          <w:p/>
          <w:p>
            <w:r>
              <w:t>Haas</w:t>
            </w:r>
          </w:p>
          <w:p/>
          <w:p/>
          <w:p>
            <w:r>
              <w:t>Alle</w:t>
            </w:r>
          </w:p>
          <w:p>
            <w:r>
              <w:t>Rexroth</w:t>
            </w:r>
          </w:p>
          <w:p/>
        </w:tc>
      </w:tr>
      <w:tr>
        <w:tc>
          <w:tcPr>
            <w:tcW w:w="477" w:type="dxa"/>
          </w:tcPr>
          <w:p>
            <w:r>
              <w:lastRenderedPageBreak/>
              <w:t>8</w:t>
            </w:r>
          </w:p>
        </w:tc>
        <w:tc>
          <w:tcPr>
            <w:tcW w:w="746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Kontaktpersonenmanagement</w:t>
            </w:r>
          </w:p>
          <w:p>
            <w:pPr>
              <w:pStyle w:val="Listenabsatz"/>
              <w:numPr>
                <w:ilvl w:val="1"/>
                <w:numId w:val="5"/>
              </w:numPr>
            </w:pPr>
            <w:r>
              <w:t>Kontaktpersonenmanagement (Kat III)</w:t>
            </w:r>
          </w:p>
          <w:p>
            <w:pPr>
              <w:pStyle w:val="Listenabsatz"/>
              <w:numPr>
                <w:ilvl w:val="1"/>
                <w:numId w:val="5"/>
              </w:numPr>
            </w:pPr>
            <w:proofErr w:type="spellStart"/>
            <w:r>
              <w:t>Kontakpersonenmanagement</w:t>
            </w:r>
            <w:proofErr w:type="spellEnd"/>
            <w:r>
              <w:t xml:space="preserve"> med. Personal (Anpassung zur Testung)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Entwurf einer Publikation des ECDC zur 30-Tages-Projektion zum Verlauf und zu der Effektivität der Maßnahmen</w:t>
            </w:r>
          </w:p>
        </w:tc>
        <w:tc>
          <w:tcPr>
            <w:tcW w:w="956" w:type="dxa"/>
          </w:tcPr>
          <w:p/>
          <w:p/>
          <w:p>
            <w:commentRangeStart w:id="1"/>
            <w:r>
              <w:t>FG36</w:t>
            </w:r>
            <w:commentRangeEnd w:id="1"/>
            <w:r>
              <w:rPr>
                <w:rStyle w:val="Kommentarzeichen"/>
              </w:rPr>
              <w:commentReference w:id="1"/>
            </w:r>
          </w:p>
          <w:p>
            <w:commentRangeStart w:id="2"/>
            <w:r>
              <w:t>FG37</w:t>
            </w:r>
            <w:commentRangeEnd w:id="2"/>
          </w:p>
          <w:p/>
          <w:p>
            <w:r>
              <w:t>FG32</w:t>
            </w:r>
            <w:r>
              <w:rPr>
                <w:rStyle w:val="Kommentarzeichen"/>
              </w:rPr>
              <w:commentReference w:id="2"/>
            </w:r>
            <w:r>
              <w:rPr>
                <w:rStyle w:val="Kommentarzeichen"/>
              </w:rPr>
              <w:commentReference w:id="3"/>
            </w:r>
          </w:p>
        </w:tc>
      </w:tr>
      <w:tr>
        <w:tc>
          <w:tcPr>
            <w:tcW w:w="477" w:type="dxa"/>
          </w:tcPr>
          <w:p>
            <w:r>
              <w:t>9</w:t>
            </w:r>
          </w:p>
        </w:tc>
        <w:tc>
          <w:tcPr>
            <w:tcW w:w="746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Stand der 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Anpassung der Testung med. Personal sowie bei Personalmangel in Alten- und Pflegeheimen</w:t>
            </w:r>
          </w:p>
        </w:tc>
        <w:tc>
          <w:tcPr>
            <w:tcW w:w="956" w:type="dxa"/>
          </w:tcPr>
          <w:p/>
          <w:p>
            <w:r>
              <w:t>FG17/ZBS1 FG 37</w:t>
            </w:r>
          </w:p>
          <w:p/>
        </w:tc>
      </w:tr>
      <w:tr>
        <w:tc>
          <w:tcPr>
            <w:tcW w:w="477" w:type="dxa"/>
          </w:tcPr>
          <w:p>
            <w:r>
              <w:t>10</w:t>
            </w:r>
          </w:p>
        </w:tc>
        <w:tc>
          <w:tcPr>
            <w:tcW w:w="746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956" w:type="dxa"/>
          </w:tcPr>
          <w:p>
            <w:r>
              <w:t>FG36/IBBS</w:t>
            </w:r>
          </w:p>
        </w:tc>
      </w:tr>
      <w:tr>
        <w:tc>
          <w:tcPr>
            <w:tcW w:w="477" w:type="dxa"/>
          </w:tcPr>
          <w:p>
            <w:r>
              <w:t>11</w:t>
            </w:r>
          </w:p>
        </w:tc>
        <w:tc>
          <w:tcPr>
            <w:tcW w:w="746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956" w:type="dxa"/>
          </w:tcPr>
          <w:p/>
        </w:tc>
      </w:tr>
      <w:tr>
        <w:tc>
          <w:tcPr>
            <w:tcW w:w="477" w:type="dxa"/>
          </w:tcPr>
          <w:p>
            <w:r>
              <w:t>12</w:t>
            </w:r>
          </w:p>
        </w:tc>
        <w:tc>
          <w:tcPr>
            <w:tcW w:w="746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IfSG-Änderung: negative Test</w:t>
            </w:r>
          </w:p>
        </w:tc>
        <w:tc>
          <w:tcPr>
            <w:tcW w:w="956" w:type="dxa"/>
          </w:tcPr>
          <w:p>
            <w:r>
              <w:t>FG32</w:t>
            </w:r>
          </w:p>
        </w:tc>
      </w:tr>
      <w:tr>
        <w:tc>
          <w:tcPr>
            <w:tcW w:w="477" w:type="dxa"/>
          </w:tcPr>
          <w:p>
            <w:r>
              <w:t>13</w:t>
            </w:r>
          </w:p>
        </w:tc>
        <w:tc>
          <w:tcPr>
            <w:tcW w:w="746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</w:t>
            </w:r>
            <w:proofErr w:type="gramStart"/>
            <w:r>
              <w:rPr>
                <w:b/>
              </w:rPr>
              <w:t>Grenzübergangsstellen</w:t>
            </w:r>
            <w:r>
              <w:rPr>
                <w:b/>
                <w:color w:val="FF0000"/>
              </w:rPr>
              <w:t>(</w:t>
            </w:r>
            <w:proofErr w:type="gramEnd"/>
            <w:r>
              <w:rPr>
                <w:b/>
                <w:color w:val="FF0000"/>
              </w:rPr>
              <w:t>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Einreisebestimmungen (siehe Top 2: Internationales)</w:t>
            </w:r>
          </w:p>
        </w:tc>
        <w:tc>
          <w:tcPr>
            <w:tcW w:w="956" w:type="dxa"/>
          </w:tcPr>
          <w:p>
            <w:r>
              <w:t>FG32</w:t>
            </w:r>
          </w:p>
        </w:tc>
      </w:tr>
      <w:tr>
        <w:tc>
          <w:tcPr>
            <w:tcW w:w="477" w:type="dxa"/>
          </w:tcPr>
          <w:p>
            <w:r>
              <w:t>14</w:t>
            </w:r>
          </w:p>
        </w:tc>
        <w:tc>
          <w:tcPr>
            <w:tcW w:w="746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</w:t>
            </w:r>
            <w:proofErr w:type="gramStart"/>
            <w:r>
              <w:rPr>
                <w:b/>
              </w:rPr>
              <w:t>Lagezentrum</w:t>
            </w:r>
            <w:r>
              <w:rPr>
                <w:b/>
                <w:color w:val="FF0000"/>
              </w:rPr>
              <w:t>(</w:t>
            </w:r>
            <w:proofErr w:type="gramEnd"/>
            <w:r>
              <w:rPr>
                <w:b/>
                <w:color w:val="FF0000"/>
              </w:rPr>
              <w:t>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Ab Montag Austausch mit BMG-Liaison</w:t>
            </w:r>
          </w:p>
        </w:tc>
        <w:tc>
          <w:tcPr>
            <w:tcW w:w="956" w:type="dxa"/>
          </w:tcPr>
          <w:p/>
        </w:tc>
      </w:tr>
      <w:tr>
        <w:tc>
          <w:tcPr>
            <w:tcW w:w="477" w:type="dxa"/>
          </w:tcPr>
          <w:p>
            <w:r>
              <w:t>15</w:t>
            </w:r>
          </w:p>
        </w:tc>
        <w:tc>
          <w:tcPr>
            <w:tcW w:w="746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956" w:type="dxa"/>
          </w:tcPr>
          <w:p>
            <w:r>
              <w:t>alle</w:t>
            </w:r>
          </w:p>
        </w:tc>
      </w:tr>
      <w:tr>
        <w:tc>
          <w:tcPr>
            <w:tcW w:w="477" w:type="dxa"/>
          </w:tcPr>
          <w:p>
            <w:r>
              <w:t>16</w:t>
            </w:r>
          </w:p>
        </w:tc>
        <w:tc>
          <w:tcPr>
            <w:tcW w:w="746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Montag 25.05.2020, 13:00 Uhr</w:t>
            </w:r>
          </w:p>
        </w:tc>
        <w:tc>
          <w:tcPr>
            <w:tcW w:w="956" w:type="dxa"/>
          </w:tcPr>
          <w:p/>
        </w:tc>
      </w:tr>
    </w:tbl>
    <w:p>
      <w:pPr>
        <w:spacing w:after="240" w:line="360" w:lineRule="auto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1797" w:bottom="964" w:left="1418" w:header="709" w:footer="709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Houareau, Claudia" w:date="2020-05-21T13:48:00Z" w:initials="HC">
    <w:p>
      <w:pPr>
        <w:pStyle w:val="Kommentartext"/>
      </w:pPr>
      <w:r>
        <w:rPr>
          <w:rStyle w:val="Kommentarzeichen"/>
        </w:rPr>
        <w:annotationRef/>
      </w:r>
      <w:r>
        <w:t>Mail von Viviane Bremer vom 21.05.2020 13:39 Uhr</w:t>
      </w:r>
    </w:p>
  </w:comment>
  <w:comment w:id="1" w:author="Hunger, Iris" w:date="2020-05-22T08:29:00Z" w:initials="HI">
    <w:p>
      <w:pPr>
        <w:pStyle w:val="Kommentartext"/>
      </w:pPr>
      <w:r>
        <w:rPr>
          <w:rStyle w:val="Kommentarzeichen"/>
        </w:rPr>
        <w:annotationRef/>
      </w:r>
      <w:r>
        <w:t>E-Mail-Austausch vorab: siehe Nachricht 22.5. 1:13</w:t>
      </w:r>
    </w:p>
  </w:comment>
  <w:comment w:id="2" w:author="Hunger, Iris" w:date="2020-05-22T08:32:00Z" w:initials="HI">
    <w:p>
      <w:pPr>
        <w:pStyle w:val="Kommentartext"/>
      </w:pPr>
      <w:r>
        <w:rPr>
          <w:rStyle w:val="Kommentarzeichen"/>
        </w:rPr>
        <w:annotationRef/>
      </w:r>
      <w:r>
        <w:t xml:space="preserve">Siehe auch E-Mail Hr. </w:t>
      </w:r>
      <w:proofErr w:type="spellStart"/>
      <w:r>
        <w:t>Mielcke</w:t>
      </w:r>
      <w:proofErr w:type="spellEnd"/>
      <w:r>
        <w:t xml:space="preserve"> vom 22.5. 8:11</w:t>
      </w:r>
    </w:p>
  </w:comment>
  <w:comment w:id="3" w:author="Houareau, Claudia" w:date="2020-05-21T13:24:00Z" w:initials="HC">
    <w:p>
      <w:pPr>
        <w:pStyle w:val="Kommentartext"/>
      </w:pPr>
      <w:r>
        <w:rPr>
          <w:rStyle w:val="Kommentarzeichen"/>
        </w:rPr>
        <w:annotationRef/>
      </w:r>
      <w:r>
        <w:t>Mail Muna Abu Sin vom 21.05.20 12:30 Uhr</w:t>
      </w:r>
    </w:p>
  </w:comment>
</w:comment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4" w:name="_GoBack"/>
    <w:bookmarkEnd w:id="4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F19D8"/>
    <w:multiLevelType w:val="hybridMultilevel"/>
    <w:tmpl w:val="5AEA2C3C"/>
    <w:lvl w:ilvl="0" w:tplc="15D025AE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97807"/>
    <w:multiLevelType w:val="hybridMultilevel"/>
    <w:tmpl w:val="6E182EA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F21567"/>
    <w:multiLevelType w:val="hybridMultilevel"/>
    <w:tmpl w:val="BDD66F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8DA8CB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0565F"/>
    <w:multiLevelType w:val="hybridMultilevel"/>
    <w:tmpl w:val="EAE0282C"/>
    <w:lvl w:ilvl="0" w:tplc="15D025AE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7"/>
  </w:num>
  <w:num w:numId="5">
    <w:abstractNumId w:val="8"/>
  </w:num>
  <w:num w:numId="6">
    <w:abstractNumId w:val="2"/>
  </w:num>
  <w:num w:numId="7">
    <w:abstractNumId w:val="10"/>
  </w:num>
  <w:num w:numId="8">
    <w:abstractNumId w:val="6"/>
  </w:num>
  <w:num w:numId="9">
    <w:abstractNumId w:val="9"/>
  </w:num>
  <w:num w:numId="10">
    <w:abstractNumId w:val="11"/>
  </w:num>
  <w:num w:numId="11">
    <w:abstractNumId w:val="17"/>
  </w:num>
  <w:num w:numId="12">
    <w:abstractNumId w:val="13"/>
  </w:num>
  <w:num w:numId="13">
    <w:abstractNumId w:val="3"/>
  </w:num>
  <w:num w:numId="14">
    <w:abstractNumId w:val="12"/>
  </w:num>
  <w:num w:numId="15">
    <w:abstractNumId w:val="5"/>
  </w:num>
  <w:num w:numId="16">
    <w:abstractNumId w:val="14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C67D11-6FDB-4876-93EE-E6F02E41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NurText">
    <w:name w:val="Plain Text"/>
    <w:basedOn w:val="Standard"/>
    <w:link w:val="NurTextZchn"/>
    <w:uiPriority w:val="99"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 w:val="22"/>
      <w:szCs w:val="21"/>
    </w:rPr>
  </w:style>
  <w:style w:type="character" w:customStyle="1" w:styleId="ListenabsatzZchn">
    <w:name w:val="Listenabsatz Zchn"/>
    <w:basedOn w:val="Absatz-Standardschriftart"/>
    <w:link w:val="Listenabsatz"/>
    <w:uiPriority w:val="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30</cp:revision>
  <cp:lastPrinted>2020-05-15T10:27:00Z</cp:lastPrinted>
  <dcterms:created xsi:type="dcterms:W3CDTF">2020-05-20T08:09:00Z</dcterms:created>
  <dcterms:modified xsi:type="dcterms:W3CDTF">2022-12-22T11:34:00Z</dcterms:modified>
</cp:coreProperties>
</file>