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(freitags)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(ausnahmsweise am 2.06., sonst 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BMG-Video zu Aerosol </w:t>
            </w: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Reihentestung;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Konkretes Rechenbeispiel zu „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“ um einen weiteren Fall zu verhindern; </w:t>
            </w: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  <w:p>
            <w:r>
              <w:t>AL 1</w:t>
            </w:r>
          </w:p>
          <w:p>
            <w:r>
              <w:lastRenderedPageBreak/>
              <w:t>FG32/Al3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AGI-TK 13:00-15:00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ALM e.V. Pressekonferenz zu Laborfragen und Testzahlen 12:00-13:00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8th webinar (DG SANTE) by the “COVID-19 Clinical Management Support System” on “COVID-19 and Intensive Care Medicine”  17:00-18:00 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03.06.2020,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07161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5BB83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5F0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B432-0A2A-44F3-A578-5ABD1CDC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D51B-CB99-4E14-9748-869A8E2E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25</cp:revision>
  <cp:lastPrinted>2020-03-13T12:00:00Z</cp:lastPrinted>
  <dcterms:created xsi:type="dcterms:W3CDTF">2020-05-28T16:44:00Z</dcterms:created>
  <dcterms:modified xsi:type="dcterms:W3CDTF">2022-12-22T11:37:00Z</dcterms:modified>
</cp:coreProperties>
</file>