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Agenda Krisenstab-Sitzung „</w:t>
      </w:r>
      <w:r>
        <w:rPr>
          <w:highlight w:val="lightGray"/>
        </w:rPr>
        <w:t>Neuartiges Coronavirus (COVID-19)</w:t>
      </w:r>
      <w:r>
        <w:t>“</w:t>
      </w:r>
    </w:p>
    <w:p/>
    <w:p>
      <w:pPr>
        <w:pBdr>
          <w:top w:val="single" w:sz="6" w:space="1" w:color="auto"/>
          <w:left w:val="single" w:sz="6" w:space="4" w:color="auto"/>
          <w:bottom w:val="single" w:sz="6" w:space="1" w:color="auto"/>
          <w:right w:val="single" w:sz="6" w:space="4" w:color="auto"/>
        </w:pBdr>
        <w:shd w:val="solid" w:color="D9D9D9" w:themeColor="background1" w:themeShade="D9" w:fill="auto"/>
        <w:rPr>
          <w:b/>
          <w:i/>
          <w:sz w:val="22"/>
        </w:rPr>
      </w:pPr>
      <w:r>
        <w:rPr>
          <w:b/>
          <w:i/>
          <w:sz w:val="22"/>
        </w:rPr>
        <w:t xml:space="preserve">Der „COVID-19-Krisenstab“  wird einberufen, um strategische Entscheidungen der Krisenreaktion zu treffen. Sie tritt in regelmäßigen Abständen zusammen. </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Lage:</w:t>
      </w:r>
      <w:r>
        <w:rPr>
          <w:b/>
          <w:i/>
          <w:sz w:val="22"/>
        </w:rPr>
        <w:tab/>
      </w:r>
      <w:r>
        <w:rPr>
          <w:b/>
          <w:i/>
          <w:sz w:val="22"/>
        </w:rPr>
        <w:tab/>
      </w:r>
      <w:r>
        <w:rPr>
          <w:i/>
          <w:sz w:val="22"/>
        </w:rPr>
        <w:t xml:space="preserve"> </w:t>
      </w:r>
      <w:r>
        <w:rPr>
          <w:i/>
          <w:sz w:val="22"/>
        </w:rPr>
        <w:tab/>
      </w:r>
      <w:sdt>
        <w:sdtPr>
          <w:rPr>
            <w:i/>
            <w:sz w:val="22"/>
          </w:rPr>
          <w:id w:val="334350100"/>
          <w:placeholder>
            <w:docPart w:val="DefaultPlaceholder_1082065158"/>
          </w:placeholder>
        </w:sdtPr>
        <w:sdtContent>
          <w:r>
            <w:rPr>
              <w:i/>
              <w:sz w:val="22"/>
            </w:rPr>
            <w:t>Neuartiges Coronavirus (COVID-19)</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Datum, Uhrzeit:</w:t>
      </w:r>
      <w:r>
        <w:rPr>
          <w:i/>
          <w:sz w:val="22"/>
        </w:rPr>
        <w:t xml:space="preserve"> </w:t>
      </w:r>
      <w:r>
        <w:rPr>
          <w:i/>
          <w:sz w:val="22"/>
        </w:rPr>
        <w:tab/>
      </w:r>
      <w:sdt>
        <w:sdtPr>
          <w:rPr>
            <w:i/>
            <w:sz w:val="22"/>
          </w:rPr>
          <w:id w:val="2096439265"/>
          <w:placeholder>
            <w:docPart w:val="DefaultPlaceholder_1082065158"/>
          </w:placeholder>
        </w:sdtPr>
        <w:sdtContent>
          <w:r>
            <w:rPr>
              <w:i/>
              <w:sz w:val="22"/>
            </w:rPr>
            <w:t>13. 07.2020, 13:00Uhr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Sitzungsort:</w:t>
      </w:r>
      <w:r>
        <w:rPr>
          <w:b/>
          <w:i/>
          <w:sz w:val="22"/>
        </w:rPr>
        <w:tab/>
        <w:t xml:space="preserve"> </w:t>
      </w:r>
      <w:r>
        <w:rPr>
          <w:b/>
          <w:i/>
          <w:sz w:val="22"/>
        </w:rPr>
        <w:tab/>
      </w:r>
      <w:sdt>
        <w:sdtPr>
          <w:rPr>
            <w:b/>
            <w:i/>
            <w:sz w:val="22"/>
          </w:rPr>
          <w:id w:val="1811592494"/>
          <w:placeholder>
            <w:docPart w:val="DefaultPlaceholder_1082065158"/>
          </w:placeholder>
        </w:sdtPr>
        <w:sdtContent>
          <w:r>
            <w:rPr>
              <w:b/>
              <w:i/>
              <w:sz w:val="22"/>
            </w:rPr>
            <w:t xml:space="preserve">RKI, </w:t>
          </w:r>
          <w:r>
            <w:rPr>
              <w:i/>
              <w:sz w:val="22"/>
              <w:szCs w:val="22"/>
            </w:rPr>
            <w:t xml:space="preserve">Virtueller Konferenzraum </w:t>
          </w:r>
          <w:proofErr w:type="spellStart"/>
          <w:r>
            <w:rPr>
              <w:i/>
              <w:sz w:val="22"/>
              <w:szCs w:val="22"/>
            </w:rPr>
            <w:t>Vitero</w:t>
          </w:r>
          <w:proofErr w:type="spellEnd"/>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r>
        <w:rPr>
          <w:b/>
          <w:i/>
          <w:sz w:val="22"/>
        </w:rPr>
        <w:t>Teilnehmende:</w:t>
      </w:r>
      <w:r>
        <w:rPr>
          <w:b/>
          <w:i/>
          <w:sz w:val="22"/>
        </w:rPr>
        <w:tab/>
        <w:t xml:space="preserve"> </w:t>
      </w:r>
      <w:sdt>
        <w:sdtPr>
          <w:rPr>
            <w:b/>
            <w:i/>
            <w:sz w:val="22"/>
          </w:rPr>
          <w:id w:val="285929693"/>
          <w:placeholder>
            <w:docPart w:val="DefaultPlaceholder_1082065158"/>
          </w:placeholder>
        </w:sdtPr>
        <w:sdtContent>
          <w:r>
            <w:rPr>
              <w:b/>
              <w:i/>
              <w:sz w:val="22"/>
            </w:rPr>
            <w:t xml:space="preserve">FG14, FG17, AL1, FG32, FG34, FG36, FG37, AL3, IBBS, ZBS1, ZBS-L, </w:t>
          </w:r>
          <w:r>
            <w:rPr>
              <w:b/>
              <w:i/>
              <w:sz w:val="22"/>
            </w:rPr>
            <w:br/>
            <w:t xml:space="preserve">INIG, ZIG-L, Pressestelle, </w:t>
          </w:r>
          <w:proofErr w:type="spellStart"/>
          <w:r>
            <w:rPr>
              <w:b/>
              <w:i/>
              <w:sz w:val="22"/>
            </w:rPr>
            <w:t>VPräs</w:t>
          </w:r>
          <w:proofErr w:type="spellEnd"/>
          <w:r>
            <w:rPr>
              <w:b/>
              <w:i/>
              <w:sz w:val="22"/>
            </w:rPr>
            <w:t xml:space="preserve">, </w:t>
          </w:r>
          <w:proofErr w:type="spellStart"/>
          <w:r>
            <w:rPr>
              <w:b/>
              <w:i/>
              <w:sz w:val="22"/>
            </w:rPr>
            <w:t>Präs</w:t>
          </w:r>
          <w:proofErr w:type="spellEnd"/>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p>
    <w:p>
      <w:pPr>
        <w:pStyle w:val="berschrift2"/>
      </w:pPr>
      <w:r>
        <w:t xml:space="preserve">Agenda: </w:t>
      </w:r>
    </w:p>
    <w:p>
      <w:pPr>
        <w:rPr>
          <w:sz w:val="22"/>
        </w:rPr>
      </w:pP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r>
              <w:t>1</w:t>
            </w:r>
          </w:p>
        </w:tc>
        <w:tc>
          <w:tcPr>
            <w:tcW w:w="6408" w:type="dxa"/>
          </w:tcPr>
          <w:p>
            <w:pPr>
              <w:rPr>
                <w:b/>
              </w:rPr>
            </w:pPr>
            <w:r>
              <w:rPr>
                <w:b/>
              </w:rPr>
              <w:t>Aktuelle Lage</w:t>
            </w:r>
          </w:p>
          <w:p>
            <w:pPr>
              <w:pStyle w:val="Listenabsatz"/>
              <w:numPr>
                <w:ilvl w:val="0"/>
                <w:numId w:val="11"/>
              </w:numPr>
            </w:pPr>
            <w:r>
              <w:t xml:space="preserve">International </w:t>
            </w:r>
          </w:p>
          <w:p>
            <w:pPr>
              <w:pStyle w:val="Listenabsatz"/>
              <w:numPr>
                <w:ilvl w:val="1"/>
                <w:numId w:val="11"/>
              </w:numPr>
            </w:pPr>
            <w:r>
              <w:t>Fälle, Ausbreitung</w:t>
            </w:r>
          </w:p>
          <w:p>
            <w:pPr>
              <w:pStyle w:val="Listenabsatz"/>
              <w:numPr>
                <w:ilvl w:val="0"/>
                <w:numId w:val="11"/>
              </w:numPr>
            </w:pPr>
            <w:r>
              <w:t>National</w:t>
            </w:r>
          </w:p>
          <w:p>
            <w:pPr>
              <w:pStyle w:val="Listenabsatz"/>
              <w:numPr>
                <w:ilvl w:val="1"/>
                <w:numId w:val="11"/>
              </w:numPr>
            </w:pPr>
            <w:r>
              <w:t>Fallzahlen/Todesfälle</w:t>
            </w:r>
          </w:p>
          <w:p>
            <w:pPr>
              <w:pStyle w:val="Listenabsatz"/>
              <w:numPr>
                <w:ilvl w:val="1"/>
                <w:numId w:val="11"/>
              </w:numPr>
            </w:pPr>
            <w:proofErr w:type="spellStart"/>
            <w:r>
              <w:t>Syndromische</w:t>
            </w:r>
            <w:proofErr w:type="spellEnd"/>
            <w:r>
              <w:t xml:space="preserve"> Surveillance (mittwochs)</w:t>
            </w:r>
          </w:p>
          <w:p>
            <w:pPr>
              <w:pStyle w:val="Listenabsatz"/>
              <w:numPr>
                <w:ilvl w:val="1"/>
                <w:numId w:val="11"/>
              </w:numPr>
            </w:pPr>
            <w:r>
              <w:t>Testkapazität und Testungen (mittwochs)</w:t>
            </w:r>
          </w:p>
          <w:p>
            <w:pPr>
              <w:pStyle w:val="Listenabsatz"/>
              <w:numPr>
                <w:ilvl w:val="1"/>
                <w:numId w:val="11"/>
              </w:numPr>
            </w:pPr>
            <w:proofErr w:type="spellStart"/>
            <w:r>
              <w:t>Mortalitätssurveillance</w:t>
            </w:r>
            <w:proofErr w:type="spellEnd"/>
            <w:r>
              <w:t xml:space="preserve"> (donnerstags)</w:t>
            </w:r>
          </w:p>
          <w:p>
            <w:pPr>
              <w:pStyle w:val="Listenabsatz"/>
              <w:numPr>
                <w:ilvl w:val="1"/>
                <w:numId w:val="11"/>
              </w:numPr>
            </w:pPr>
            <w:r>
              <w:t>Vorstellung Ergebnisse Trompete-Cluster</w:t>
            </w:r>
          </w:p>
        </w:tc>
        <w:tc>
          <w:tcPr>
            <w:tcW w:w="1809" w:type="dxa"/>
          </w:tcPr>
          <w:p/>
          <w:p>
            <w:r>
              <w:t>ZIG1</w:t>
            </w:r>
          </w:p>
          <w:p/>
          <w:p/>
          <w:p>
            <w:r>
              <w:br/>
              <w:t>FG32</w:t>
            </w:r>
          </w:p>
        </w:tc>
      </w:tr>
      <w:tr>
        <w:tc>
          <w:tcPr>
            <w:tcW w:w="684" w:type="dxa"/>
          </w:tcPr>
          <w:p>
            <w:r>
              <w:t>2</w:t>
            </w:r>
          </w:p>
        </w:tc>
        <w:tc>
          <w:tcPr>
            <w:tcW w:w="6408" w:type="dxa"/>
          </w:tcPr>
          <w:p>
            <w:pPr>
              <w:rPr>
                <w:b/>
                <w:color w:val="FF0000"/>
              </w:rPr>
            </w:pPr>
            <w:r>
              <w:rPr>
                <w:b/>
              </w:rPr>
              <w:t xml:space="preserve">Internationales </w:t>
            </w:r>
            <w:r>
              <w:rPr>
                <w:b/>
                <w:color w:val="FF0000"/>
              </w:rPr>
              <w:t>(nur freitags)</w:t>
            </w:r>
          </w:p>
          <w:p>
            <w:pPr>
              <w:pStyle w:val="Listenabsatz"/>
              <w:numPr>
                <w:ilvl w:val="0"/>
                <w:numId w:val="12"/>
              </w:numPr>
            </w:pPr>
            <w:r>
              <w:t xml:space="preserve">Schweden-Reisewarnung aufheben? </w:t>
            </w:r>
          </w:p>
        </w:tc>
        <w:tc>
          <w:tcPr>
            <w:tcW w:w="1809" w:type="dxa"/>
          </w:tcPr>
          <w:p>
            <w:r>
              <w:t>ZIG/PHI</w:t>
            </w:r>
          </w:p>
        </w:tc>
      </w:tr>
      <w:tr>
        <w:tc>
          <w:tcPr>
            <w:tcW w:w="684" w:type="dxa"/>
          </w:tcPr>
          <w:p>
            <w:r>
              <w:t>3</w:t>
            </w:r>
          </w:p>
        </w:tc>
        <w:tc>
          <w:tcPr>
            <w:tcW w:w="6408" w:type="dxa"/>
          </w:tcPr>
          <w:p>
            <w:pPr>
              <w:rPr>
                <w:b/>
                <w:color w:val="FF0000"/>
              </w:rPr>
            </w:pPr>
            <w:r>
              <w:rPr>
                <w:b/>
              </w:rPr>
              <w:t xml:space="preserve">Update Digitale Projekte </w:t>
            </w:r>
            <w:r>
              <w:rPr>
                <w:b/>
                <w:color w:val="FF0000"/>
              </w:rPr>
              <w:t>(nur montags)</w:t>
            </w:r>
          </w:p>
          <w:p>
            <w:pPr>
              <w:pStyle w:val="Listenabsatz"/>
              <w:numPr>
                <w:ilvl w:val="0"/>
                <w:numId w:val="12"/>
              </w:numPr>
            </w:pPr>
            <w:r>
              <w:t>IMIS ist aus dem Hackathon #</w:t>
            </w:r>
            <w:proofErr w:type="spellStart"/>
            <w:r>
              <w:t>WirVsVirus</w:t>
            </w:r>
            <w:proofErr w:type="spellEnd"/>
            <w:r>
              <w:t xml:space="preserve"> der Bundesregierung entstanden und konzentriert sich in enger Zusammenarbeit mit Gesundheitsämtern auf die Digitalisierung der dortigen IfSG-bezogenen Aufgaben.</w:t>
            </w:r>
          </w:p>
          <w:p>
            <w:pPr>
              <w:pStyle w:val="Listenabsatz"/>
              <w:rPr>
                <w:b/>
              </w:rPr>
            </w:pPr>
            <w:r>
              <w:rPr>
                <w:b/>
              </w:rPr>
              <w:t xml:space="preserve">LHW: </w:t>
            </w:r>
          </w:p>
          <w:p>
            <w:pPr>
              <w:pStyle w:val="Listenabsatz"/>
              <w:numPr>
                <w:ilvl w:val="0"/>
                <w:numId w:val="12"/>
              </w:numPr>
            </w:pPr>
            <w:r>
              <w:t>Ist uns das bekannt?</w:t>
            </w:r>
          </w:p>
          <w:p>
            <w:pPr>
              <w:pStyle w:val="Listenabsatz"/>
              <w:numPr>
                <w:ilvl w:val="0"/>
                <w:numId w:val="12"/>
              </w:numPr>
            </w:pPr>
            <w:r>
              <w:t xml:space="preserve"> Wenn ja - haben/wollen wir Kontakt zu der Gruppe?</w:t>
            </w:r>
          </w:p>
        </w:tc>
        <w:tc>
          <w:tcPr>
            <w:tcW w:w="1809" w:type="dxa"/>
          </w:tcPr>
          <w:p>
            <w:r>
              <w:t>Schmich</w:t>
            </w:r>
          </w:p>
        </w:tc>
      </w:tr>
      <w:tr>
        <w:trPr>
          <w:trHeight w:val="319"/>
        </w:trPr>
        <w:tc>
          <w:tcPr>
            <w:tcW w:w="684" w:type="dxa"/>
          </w:tcPr>
          <w:p>
            <w:r>
              <w:t>4</w:t>
            </w:r>
          </w:p>
        </w:tc>
        <w:tc>
          <w:tcPr>
            <w:tcW w:w="6408" w:type="dxa"/>
          </w:tcPr>
          <w:p>
            <w:pPr>
              <w:rPr>
                <w:b/>
              </w:rPr>
            </w:pPr>
            <w:r>
              <w:rPr>
                <w:b/>
              </w:rPr>
              <w:t>Aktuelle Risikobewertung</w:t>
            </w:r>
          </w:p>
          <w:p>
            <w:pPr>
              <w:pStyle w:val="Listenabsatz"/>
              <w:numPr>
                <w:ilvl w:val="0"/>
                <w:numId w:val="11"/>
              </w:numPr>
            </w:pPr>
            <w:r>
              <w:rPr>
                <w:highlight w:val="yellow"/>
              </w:rPr>
              <w:t xml:space="preserve">Ergänzungsvorschlag von Herrn Wieler: </w:t>
            </w:r>
            <w:r>
              <w:t xml:space="preserve">„Das Infektionsrisiko ist stark von der regionalen Verbreitung, von den Lebensbedingungen (Verhältnissen) und auch vom individuellen Verhalten, </w:t>
            </w:r>
            <w:r>
              <w:rPr>
                <w:color w:val="FF0000"/>
              </w:rPr>
              <w:t>z.B. in Bezug auf die sog. AHA-Regeln (Abstand, Hygienemaßnahmen, Alltagsmasken) abhängig.</w:t>
            </w:r>
          </w:p>
        </w:tc>
        <w:tc>
          <w:tcPr>
            <w:tcW w:w="1809" w:type="dxa"/>
          </w:tcPr>
          <w:p/>
          <w:p>
            <w:r>
              <w:t>alle</w:t>
            </w:r>
          </w:p>
        </w:tc>
      </w:tr>
      <w:tr>
        <w:tc>
          <w:tcPr>
            <w:tcW w:w="684" w:type="dxa"/>
          </w:tcPr>
          <w:p>
            <w:r>
              <w:t>5</w:t>
            </w:r>
          </w:p>
        </w:tc>
        <w:tc>
          <w:tcPr>
            <w:tcW w:w="6408" w:type="dxa"/>
          </w:tcPr>
          <w:p>
            <w:pPr>
              <w:rPr>
                <w:b/>
              </w:rPr>
            </w:pPr>
            <w:r>
              <w:rPr>
                <w:b/>
              </w:rPr>
              <w:t>Kommunikation</w:t>
            </w:r>
          </w:p>
          <w:p>
            <w:pPr>
              <w:pStyle w:val="Listenabsatz"/>
              <w:numPr>
                <w:ilvl w:val="0"/>
                <w:numId w:val="5"/>
              </w:numPr>
            </w:pPr>
          </w:p>
        </w:tc>
        <w:tc>
          <w:tcPr>
            <w:tcW w:w="1809" w:type="dxa"/>
          </w:tcPr>
          <w:p>
            <w:r>
              <w:lastRenderedPageBreak/>
              <w:t>BZgA</w:t>
            </w:r>
          </w:p>
          <w:p>
            <w:r>
              <w:lastRenderedPageBreak/>
              <w:t>Presse</w:t>
            </w:r>
          </w:p>
        </w:tc>
      </w:tr>
      <w:tr>
        <w:tc>
          <w:tcPr>
            <w:tcW w:w="684" w:type="dxa"/>
          </w:tcPr>
          <w:p>
            <w:r>
              <w:lastRenderedPageBreak/>
              <w:t>6</w:t>
            </w:r>
          </w:p>
        </w:tc>
        <w:tc>
          <w:tcPr>
            <w:tcW w:w="6408" w:type="dxa"/>
          </w:tcPr>
          <w:p>
            <w:pPr>
              <w:rPr>
                <w:b/>
              </w:rPr>
            </w:pPr>
            <w:r>
              <w:rPr>
                <w:b/>
              </w:rPr>
              <w:t>Neues aus dem BMG</w:t>
            </w:r>
          </w:p>
          <w:p>
            <w:pPr>
              <w:pStyle w:val="Listenabsatz"/>
              <w:numPr>
                <w:ilvl w:val="0"/>
                <w:numId w:val="16"/>
              </w:numPr>
              <w:rPr>
                <w:b/>
              </w:rPr>
            </w:pPr>
          </w:p>
        </w:tc>
        <w:tc>
          <w:tcPr>
            <w:tcW w:w="1809" w:type="dxa"/>
          </w:tcPr>
          <w:p/>
        </w:tc>
      </w:tr>
      <w:tr>
        <w:tc>
          <w:tcPr>
            <w:tcW w:w="684" w:type="dxa"/>
          </w:tcPr>
          <w:p>
            <w:r>
              <w:t>7</w:t>
            </w:r>
          </w:p>
        </w:tc>
        <w:tc>
          <w:tcPr>
            <w:tcW w:w="6408" w:type="dxa"/>
          </w:tcPr>
          <w:p>
            <w:pPr>
              <w:rPr>
                <w:b/>
              </w:rPr>
            </w:pPr>
            <w:r>
              <w:rPr>
                <w:b/>
              </w:rPr>
              <w:t>Strategie Fragen</w:t>
            </w:r>
          </w:p>
          <w:p>
            <w:pPr>
              <w:pStyle w:val="Listenabsatz"/>
              <w:numPr>
                <w:ilvl w:val="0"/>
                <w:numId w:val="15"/>
              </w:numPr>
              <w:rPr>
                <w:b/>
              </w:rPr>
            </w:pPr>
            <w:r>
              <w:rPr>
                <w:b/>
              </w:rPr>
              <w:t>Allgemein</w:t>
            </w:r>
          </w:p>
          <w:p>
            <w:pPr>
              <w:pStyle w:val="Listenabsatz"/>
              <w:numPr>
                <w:ilvl w:val="0"/>
                <w:numId w:val="16"/>
              </w:numPr>
            </w:pPr>
            <w:r>
              <w:t>Ausschluss von Kindern aus Gemeinschaftseinrichtungen bei milden ARE-Symptomen</w:t>
            </w:r>
          </w:p>
          <w:p>
            <w:pPr>
              <w:pStyle w:val="Listenabsatz"/>
              <w:numPr>
                <w:ilvl w:val="1"/>
                <w:numId w:val="16"/>
              </w:numPr>
            </w:pPr>
            <w:r>
              <w:t>Verordnung des Bildungsministeriums, dass Kinder mit Symptomen einer ARE die Gemeinschaftseinrichtung für 10 Tage nicht besuchen dürfen, es sei denn es liegt ein ärztliches oder amtliches Attest vor, dass das Vorliegen einer COVID-19-Erkrankung ausschließt.</w:t>
            </w:r>
          </w:p>
          <w:p>
            <w:pPr>
              <w:pStyle w:val="Listenabsatz"/>
              <w:numPr>
                <w:ilvl w:val="1"/>
                <w:numId w:val="16"/>
              </w:numPr>
            </w:pPr>
            <w:r>
              <w:t>=&gt; völlige Überlastung der Kinderarztpraxen bei gleichzeitiger zunehmender Schließung der Testzentren</w:t>
            </w:r>
          </w:p>
          <w:p>
            <w:pPr>
              <w:pStyle w:val="Listenabsatz"/>
              <w:numPr>
                <w:ilvl w:val="1"/>
                <w:numId w:val="16"/>
              </w:numPr>
            </w:pPr>
            <w:r>
              <w:t>Gibt es eine Rechtsgrundlage dafür, dass Kitas/Schulen neg. Testergebnis verlangen dürfen?</w:t>
            </w:r>
          </w:p>
          <w:p>
            <w:pPr>
              <w:pStyle w:val="Listenabsatz"/>
              <w:ind w:left="1440"/>
              <w:rPr>
                <w:b/>
              </w:rPr>
            </w:pPr>
            <w:r>
              <w:rPr>
                <w:b/>
              </w:rPr>
              <w:t>Weitere Fragen aus den Ländern dazu (s. E-Mail von Walter Haas)</w:t>
            </w:r>
          </w:p>
          <w:p>
            <w:pPr>
              <w:pStyle w:val="Listenabsatz"/>
              <w:numPr>
                <w:ilvl w:val="2"/>
                <w:numId w:val="16"/>
              </w:numPr>
            </w:pPr>
            <w:r>
              <w:t>1. Gibt es in den Ländern Regelungen, mit denen Sie gute Erfahrungen gemacht haben (z.B. Einschränkung der Testung im Hinblick auf die lokale epidemiologische Lage, d.h. in Landkreisen mit einer Inzidenz von Null und ohne Reiseanamnese würde kein Anlass für Testung bestehen)?</w:t>
            </w:r>
          </w:p>
          <w:p>
            <w:pPr>
              <w:pStyle w:val="Listenabsatz"/>
              <w:numPr>
                <w:ilvl w:val="2"/>
                <w:numId w:val="16"/>
              </w:numPr>
            </w:pPr>
            <w:r>
              <w:t>2. Das häufigste Problem scheint Schnupfen zu sein. Liegen dem RKI inzwischen Erkenntnisse vor, ob Schnupfen als alleiniges Symptom bei COVID-19-Erkrankungen überhaupt vorkommt?</w:t>
            </w:r>
          </w:p>
          <w:p>
            <w:pPr>
              <w:pStyle w:val="Listenabsatz"/>
              <w:numPr>
                <w:ilvl w:val="2"/>
                <w:numId w:val="16"/>
              </w:numPr>
            </w:pPr>
            <w:r>
              <w:t>3. Ich möchte das RKI bitten, speziell für die Gruppe der Kinder in Gemeinschaftseinrichtungen eine Empfehlung zu Testindikationen und zur Wiederzulassung in Gemeinschaftseinrichtungen zu erstellen. Es wäre toll, wenn das zeitnah möglich wäre.</w:t>
            </w:r>
          </w:p>
          <w:p>
            <w:pPr>
              <w:pStyle w:val="Listenabsatz"/>
              <w:numPr>
                <w:ilvl w:val="1"/>
                <w:numId w:val="16"/>
              </w:numPr>
              <w:rPr>
                <w:b/>
              </w:rPr>
            </w:pPr>
            <w:r>
              <w:t>. Soll ein Dokument dazu auf die Webseite?</w:t>
            </w:r>
          </w:p>
          <w:p>
            <w:pPr>
              <w:pStyle w:val="Listenabsatz"/>
              <w:numPr>
                <w:ilvl w:val="0"/>
                <w:numId w:val="15"/>
              </w:numPr>
              <w:rPr>
                <w:b/>
              </w:rPr>
            </w:pPr>
            <w:r>
              <w:rPr>
                <w:b/>
              </w:rPr>
              <w:t>RKI-intern</w:t>
            </w:r>
          </w:p>
        </w:tc>
        <w:tc>
          <w:tcPr>
            <w:tcW w:w="1809" w:type="dxa"/>
          </w:tcPr>
          <w:p/>
        </w:tc>
      </w:tr>
      <w:tr>
        <w:tc>
          <w:tcPr>
            <w:tcW w:w="684" w:type="dxa"/>
          </w:tcPr>
          <w:p>
            <w:r>
              <w:t>8</w:t>
            </w:r>
          </w:p>
        </w:tc>
        <w:tc>
          <w:tcPr>
            <w:tcW w:w="6408" w:type="dxa"/>
          </w:tcPr>
          <w:p>
            <w:pPr>
              <w:rPr>
                <w:b/>
              </w:rPr>
            </w:pPr>
            <w:r>
              <w:rPr>
                <w:b/>
              </w:rPr>
              <w:t>Dokumente</w:t>
            </w:r>
          </w:p>
          <w:p>
            <w:pPr>
              <w:pStyle w:val="Listenabsatz"/>
              <w:numPr>
                <w:ilvl w:val="0"/>
                <w:numId w:val="5"/>
              </w:numPr>
            </w:pPr>
          </w:p>
        </w:tc>
        <w:tc>
          <w:tcPr>
            <w:tcW w:w="1809" w:type="dxa"/>
          </w:tcPr>
          <w:p/>
          <w:p/>
        </w:tc>
      </w:tr>
      <w:tr>
        <w:tc>
          <w:tcPr>
            <w:tcW w:w="684" w:type="dxa"/>
          </w:tcPr>
          <w:p>
            <w:r>
              <w:lastRenderedPageBreak/>
              <w:t>9</w:t>
            </w:r>
          </w:p>
        </w:tc>
        <w:tc>
          <w:tcPr>
            <w:tcW w:w="6408" w:type="dxa"/>
          </w:tcPr>
          <w:p>
            <w:pPr>
              <w:rPr>
                <w:b/>
              </w:rPr>
            </w:pPr>
            <w:r>
              <w:rPr>
                <w:b/>
              </w:rPr>
              <w:t>Labordiagnostik</w:t>
            </w:r>
          </w:p>
          <w:p>
            <w:pPr>
              <w:pStyle w:val="Listenabsatz"/>
              <w:numPr>
                <w:ilvl w:val="0"/>
                <w:numId w:val="5"/>
              </w:numPr>
            </w:pPr>
          </w:p>
        </w:tc>
        <w:tc>
          <w:tcPr>
            <w:tcW w:w="1809" w:type="dxa"/>
          </w:tcPr>
          <w:p/>
        </w:tc>
      </w:tr>
      <w:tr>
        <w:tc>
          <w:tcPr>
            <w:tcW w:w="684" w:type="dxa"/>
          </w:tcPr>
          <w:p>
            <w:r>
              <w:t>10</w:t>
            </w:r>
          </w:p>
        </w:tc>
        <w:tc>
          <w:tcPr>
            <w:tcW w:w="6408" w:type="dxa"/>
          </w:tcPr>
          <w:p>
            <w:pPr>
              <w:rPr>
                <w:b/>
              </w:rPr>
            </w:pPr>
            <w:r>
              <w:rPr>
                <w:b/>
              </w:rPr>
              <w:t>Klinisches Management/Entlassungsmanagement</w:t>
            </w:r>
          </w:p>
          <w:p>
            <w:pPr>
              <w:pStyle w:val="Listenabsatz"/>
              <w:numPr>
                <w:ilvl w:val="0"/>
                <w:numId w:val="5"/>
              </w:numPr>
            </w:pPr>
          </w:p>
        </w:tc>
        <w:tc>
          <w:tcPr>
            <w:tcW w:w="1809" w:type="dxa"/>
          </w:tcPr>
          <w:p/>
          <w:p/>
        </w:tc>
      </w:tr>
      <w:tr>
        <w:tc>
          <w:tcPr>
            <w:tcW w:w="684" w:type="dxa"/>
          </w:tcPr>
          <w:p>
            <w:r>
              <w:t>11</w:t>
            </w:r>
          </w:p>
        </w:tc>
        <w:tc>
          <w:tcPr>
            <w:tcW w:w="6408" w:type="dxa"/>
          </w:tcPr>
          <w:p>
            <w:pPr>
              <w:rPr>
                <w:b/>
              </w:rPr>
            </w:pPr>
            <w:r>
              <w:rPr>
                <w:b/>
              </w:rPr>
              <w:t>Maßnahmen zum Infektionsschutz</w:t>
            </w:r>
          </w:p>
        </w:tc>
        <w:tc>
          <w:tcPr>
            <w:tcW w:w="1809" w:type="dxa"/>
          </w:tcPr>
          <w:p/>
          <w:p/>
        </w:tc>
      </w:tr>
      <w:tr>
        <w:tc>
          <w:tcPr>
            <w:tcW w:w="684" w:type="dxa"/>
          </w:tcPr>
          <w:p>
            <w:r>
              <w:t>12</w:t>
            </w:r>
          </w:p>
        </w:tc>
        <w:tc>
          <w:tcPr>
            <w:tcW w:w="6408" w:type="dxa"/>
          </w:tcPr>
          <w:p>
            <w:pPr>
              <w:rPr>
                <w:b/>
              </w:rPr>
            </w:pPr>
            <w:r>
              <w:rPr>
                <w:b/>
              </w:rPr>
              <w:t>Surveillance</w:t>
            </w:r>
          </w:p>
          <w:p>
            <w:pPr>
              <w:pStyle w:val="Listenabsatz"/>
              <w:numPr>
                <w:ilvl w:val="0"/>
                <w:numId w:val="5"/>
              </w:numPr>
            </w:pPr>
          </w:p>
        </w:tc>
        <w:tc>
          <w:tcPr>
            <w:tcW w:w="1809" w:type="dxa"/>
          </w:tcPr>
          <w:p>
            <w:r>
              <w:t>FG32</w:t>
            </w:r>
          </w:p>
        </w:tc>
      </w:tr>
      <w:tr>
        <w:tc>
          <w:tcPr>
            <w:tcW w:w="684" w:type="dxa"/>
          </w:tcPr>
          <w:p>
            <w:r>
              <w:t>13</w:t>
            </w:r>
          </w:p>
        </w:tc>
        <w:tc>
          <w:tcPr>
            <w:tcW w:w="6408" w:type="dxa"/>
          </w:tcPr>
          <w:p>
            <w:pPr>
              <w:rPr>
                <w:b/>
              </w:rPr>
            </w:pPr>
            <w:r>
              <w:rPr>
                <w:b/>
              </w:rPr>
              <w:t xml:space="preserve">Transport und Grenzübergangsstellen </w:t>
            </w:r>
            <w:r>
              <w:rPr>
                <w:b/>
                <w:color w:val="FF0000"/>
              </w:rPr>
              <w:t>(nur freitags)</w:t>
            </w:r>
          </w:p>
          <w:p>
            <w:pPr>
              <w:pStyle w:val="Listenabsatz"/>
              <w:numPr>
                <w:ilvl w:val="0"/>
                <w:numId w:val="5"/>
              </w:numPr>
            </w:pPr>
          </w:p>
        </w:tc>
        <w:tc>
          <w:tcPr>
            <w:tcW w:w="1809" w:type="dxa"/>
          </w:tcPr>
          <w:p/>
          <w:p>
            <w:r>
              <w:t>FG32</w:t>
            </w:r>
          </w:p>
        </w:tc>
      </w:tr>
      <w:tr>
        <w:tc>
          <w:tcPr>
            <w:tcW w:w="684" w:type="dxa"/>
          </w:tcPr>
          <w:p>
            <w:r>
              <w:t>14</w:t>
            </w:r>
          </w:p>
        </w:tc>
        <w:tc>
          <w:tcPr>
            <w:tcW w:w="6408" w:type="dxa"/>
          </w:tcPr>
          <w:p>
            <w:pPr>
              <w:rPr>
                <w:b/>
              </w:rPr>
            </w:pPr>
            <w:r>
              <w:rPr>
                <w:b/>
              </w:rPr>
              <w:t xml:space="preserve">Bericht von BAUA und ABAS </w:t>
            </w:r>
            <w:r>
              <w:rPr>
                <w:b/>
                <w:color w:val="FF0000"/>
              </w:rPr>
              <w:t>(nur freitags)</w:t>
            </w:r>
          </w:p>
        </w:tc>
        <w:tc>
          <w:tcPr>
            <w:tcW w:w="1809" w:type="dxa"/>
          </w:tcPr>
          <w:p>
            <w:r>
              <w:t>IBBS</w:t>
            </w:r>
          </w:p>
        </w:tc>
      </w:tr>
      <w:tr>
        <w:tc>
          <w:tcPr>
            <w:tcW w:w="684" w:type="dxa"/>
          </w:tcPr>
          <w:p>
            <w:r>
              <w:t>15</w:t>
            </w:r>
          </w:p>
        </w:tc>
        <w:tc>
          <w:tcPr>
            <w:tcW w:w="6408" w:type="dxa"/>
          </w:tcPr>
          <w:p>
            <w:pPr>
              <w:rPr>
                <w:b/>
              </w:rPr>
            </w:pPr>
            <w:r>
              <w:rPr>
                <w:b/>
              </w:rPr>
              <w:t xml:space="preserve">Information aus dem Lagezentrum </w:t>
            </w:r>
            <w:r>
              <w:rPr>
                <w:b/>
                <w:color w:val="FF0000"/>
              </w:rPr>
              <w:t>(nur freitags)</w:t>
            </w:r>
          </w:p>
          <w:p>
            <w:pPr>
              <w:pStyle w:val="Listenabsatz"/>
              <w:numPr>
                <w:ilvl w:val="0"/>
                <w:numId w:val="5"/>
              </w:numPr>
            </w:pPr>
          </w:p>
        </w:tc>
        <w:tc>
          <w:tcPr>
            <w:tcW w:w="1809" w:type="dxa"/>
          </w:tcPr>
          <w:p/>
        </w:tc>
      </w:tr>
      <w:tr>
        <w:tc>
          <w:tcPr>
            <w:tcW w:w="684" w:type="dxa"/>
          </w:tcPr>
          <w:p>
            <w:r>
              <w:t>16</w:t>
            </w:r>
          </w:p>
        </w:tc>
        <w:tc>
          <w:tcPr>
            <w:tcW w:w="6408" w:type="dxa"/>
          </w:tcPr>
          <w:p>
            <w:pPr>
              <w:rPr>
                <w:b/>
              </w:rPr>
            </w:pPr>
            <w:r>
              <w:rPr>
                <w:b/>
              </w:rPr>
              <w:t>Wichtige Termine</w:t>
            </w:r>
          </w:p>
          <w:p>
            <w:pPr>
              <w:rPr>
                <w:b/>
              </w:rPr>
            </w:pPr>
          </w:p>
        </w:tc>
        <w:tc>
          <w:tcPr>
            <w:tcW w:w="1809" w:type="dxa"/>
          </w:tcPr>
          <w:p>
            <w:r>
              <w:t>alle</w:t>
            </w:r>
          </w:p>
        </w:tc>
      </w:tr>
      <w:tr>
        <w:tc>
          <w:tcPr>
            <w:tcW w:w="684" w:type="dxa"/>
          </w:tcPr>
          <w:p>
            <w:r>
              <w:t>17</w:t>
            </w:r>
          </w:p>
        </w:tc>
        <w:tc>
          <w:tcPr>
            <w:tcW w:w="6408" w:type="dxa"/>
          </w:tcPr>
          <w:p>
            <w:pPr>
              <w:rPr>
                <w:b/>
              </w:rPr>
            </w:pPr>
            <w:r>
              <w:rPr>
                <w:b/>
              </w:rPr>
              <w:t>Andere Themen</w:t>
            </w:r>
          </w:p>
          <w:p>
            <w:pPr>
              <w:pStyle w:val="Listenabsatz"/>
              <w:numPr>
                <w:ilvl w:val="0"/>
                <w:numId w:val="5"/>
              </w:numPr>
              <w:rPr>
                <w:b/>
              </w:rPr>
            </w:pPr>
            <w:r>
              <w:t>Nächste Sitzung: Mittwoch, 15.07.2020, 11:00 Uhr</w:t>
            </w:r>
          </w:p>
        </w:tc>
        <w:tc>
          <w:tcPr>
            <w:tcW w:w="1809" w:type="dxa"/>
          </w:tcPr>
          <w:p/>
          <w:p/>
        </w:tc>
      </w:tr>
    </w:tbl>
    <w:p>
      <w:pPr>
        <w:spacing w:after="240" w:line="360" w:lineRule="auto"/>
      </w:pPr>
    </w:p>
    <w:sectPr>
      <w:headerReference w:type="even" r:id="rId7"/>
      <w:headerReference w:type="default" r:id="rId8"/>
      <w:footerReference w:type="even" r:id="rId9"/>
      <w:footerReference w:type="default" r:id="rId10"/>
      <w:headerReference w:type="first" r:id="rId11"/>
      <w:footerReference w:type="first" r:id="rId12"/>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pPr>
      <w:pStyle w:val="Fuzeile"/>
      <w:ind w:right="360"/>
      <w:rPr>
        <w:i/>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bookmarkStart w:id="0" w:name="_GoBack"/>
    <w:bookmarkEnd w:id="0"/>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F21567"/>
    <w:multiLevelType w:val="hybridMultilevel"/>
    <w:tmpl w:val="D0E0A6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08305E"/>
    <w:multiLevelType w:val="hybridMultilevel"/>
    <w:tmpl w:val="864ED2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AC0447"/>
    <w:multiLevelType w:val="hybridMultilevel"/>
    <w:tmpl w:val="FB881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5"/>
  </w:num>
  <w:num w:numId="5">
    <w:abstractNumId w:val="6"/>
  </w:num>
  <w:num w:numId="6">
    <w:abstractNumId w:val="1"/>
  </w:num>
  <w:num w:numId="7">
    <w:abstractNumId w:val="9"/>
  </w:num>
  <w:num w:numId="8">
    <w:abstractNumId w:val="4"/>
  </w:num>
  <w:num w:numId="9">
    <w:abstractNumId w:val="8"/>
  </w:num>
  <w:num w:numId="10">
    <w:abstractNumId w:val="10"/>
  </w:num>
  <w:num w:numId="11">
    <w:abstractNumId w:val="15"/>
  </w:num>
  <w:num w:numId="12">
    <w:abstractNumId w:val="12"/>
  </w:num>
  <w:num w:numId="13">
    <w:abstractNumId w:val="2"/>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2D541-722F-42B7-8436-418835B5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939096928">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928028338">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 w:id="2093770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B7E8BAFD-3910-4358-8CF7-DB554159E86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1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Kovacev-Wegener, Maja</cp:lastModifiedBy>
  <cp:revision>16</cp:revision>
  <cp:lastPrinted>2020-03-13T12:00:00Z</cp:lastPrinted>
  <dcterms:created xsi:type="dcterms:W3CDTF">2020-07-10T08:13:00Z</dcterms:created>
  <dcterms:modified xsi:type="dcterms:W3CDTF">2022-12-22T11:48:00Z</dcterms:modified>
</cp:coreProperties>
</file>