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 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ZIG/PHI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commentRangeStart w:id="0"/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Aktuelles Dokument zur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Positionspapier für </w:t>
            </w:r>
            <w:commentRangeStart w:id="1"/>
            <w:r>
              <w:t>Webseite</w:t>
            </w:r>
            <w:commentRangeEnd w:id="1"/>
            <w:r>
              <w:rPr>
                <w:rStyle w:val="Kommentarzeichen"/>
              </w:rPr>
              <w:commentReference w:id="1"/>
            </w:r>
          </w:p>
          <w:p>
            <w:pPr>
              <w:ind w:left="360"/>
            </w:pPr>
          </w:p>
        </w:tc>
        <w:tc>
          <w:tcPr>
            <w:tcW w:w="1809" w:type="dxa"/>
          </w:tcPr>
          <w:p/>
          <w:p>
            <w:r>
              <w:t>alle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1"/>
                <w:numId w:val="16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rPr>
                <w:sz w:val="22"/>
                <w:szCs w:val="22"/>
              </w:rPr>
              <w:t>Überarbeitetes Diagnostikpapier zum Ct-Wert</w:t>
            </w:r>
          </w:p>
        </w:tc>
        <w:tc>
          <w:tcPr>
            <w:tcW w:w="1809" w:type="dxa"/>
          </w:tcPr>
          <w:p>
            <w:r>
              <w:t>ZBS/FG17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Testindikationen und Wiederzulassungskriterien für Kinder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Bericht von BAUA und ABAS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Freigabe Lagebericht</w:t>
            </w:r>
          </w:p>
        </w:tc>
        <w:tc>
          <w:tcPr>
            <w:tcW w:w="1809" w:type="dxa"/>
          </w:tcPr>
          <w:p>
            <w:r>
              <w:t>Hamouda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17.07.2020, 11:00 Uhr</w:t>
            </w:r>
          </w:p>
        </w:tc>
        <w:tc>
          <w:tcPr>
            <w:tcW w:w="1809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osner, Bettina" w:date="2020-07-14T21:17:00Z" w:initials="RB">
    <w:p>
      <w:pPr>
        <w:pStyle w:val="Kommentartext"/>
      </w:pPr>
      <w:r>
        <w:rPr>
          <w:rStyle w:val="Kommentarzeichen"/>
        </w:rPr>
        <w:annotationRef/>
      </w:r>
      <w:r>
        <w:t>Siehe Dokumente von Herrn Wieler (im Ordner)</w:t>
      </w:r>
    </w:p>
  </w:comment>
  <w:comment w:id="0" w:author="Dudareva, Sandra" w:date="2020-07-14T10:08:00Z" w:initials="DS">
    <w:p>
      <w:pPr>
        <w:pStyle w:val="Kommentartext"/>
      </w:pPr>
      <w:r>
        <w:rPr>
          <w:rStyle w:val="Kommentarzeichen"/>
        </w:rPr>
        <w:annotationRef/>
      </w:r>
      <w:r>
        <w:t xml:space="preserve">Mit Input vom Herr </w:t>
      </w:r>
      <w:proofErr w:type="spellStart"/>
      <w:r>
        <w:t>Wieler</w:t>
      </w:r>
      <w:proofErr w:type="spellEnd"/>
      <w:r>
        <w:t xml:space="preserve"> im </w:t>
      </w:r>
      <w:proofErr w:type="spellStart"/>
      <w:r>
        <w:t>ordner</w:t>
      </w:r>
      <w:proofErr w:type="spellEnd"/>
      <w:r>
        <w:t xml:space="preserve"> abgelegt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2" w:name="_GoBack"/>
    <w:bookmarkEnd w:id="2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864ED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FB881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49053-0925-41C9-A257-A7DC786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24</cp:revision>
  <cp:lastPrinted>2020-03-13T12:00:00Z</cp:lastPrinted>
  <dcterms:created xsi:type="dcterms:W3CDTF">2020-07-10T08:13:00Z</dcterms:created>
  <dcterms:modified xsi:type="dcterms:W3CDTF">2022-12-22T11:49:00Z</dcterms:modified>
</cp:coreProperties>
</file>