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22.07.2020,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Mortalitätssurveillance (donnerstags)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Informationen zu Arbeitsschutz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lastRenderedPageBreak/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Reiserückkehrer aus Risikogebieten (E-Mail Ute Rexroth 21.07.2020 16:13)</w:t>
            </w: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Influenza-Viruszirkulation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Laborbasierte Surveillance</w:t>
            </w:r>
          </w:p>
        </w:tc>
        <w:tc>
          <w:tcPr>
            <w:tcW w:w="1809" w:type="dxa"/>
          </w:tcPr>
          <w:p>
            <w:r>
              <w:t>FG32</w:t>
            </w:r>
          </w:p>
          <w:p>
            <w:r>
              <w:t>Dürrwald</w:t>
            </w:r>
          </w:p>
          <w:p>
            <w:r>
              <w:t>Buda</w:t>
            </w:r>
          </w:p>
          <w:p>
            <w:r>
              <w:t>Eckmanns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 24.07.2020, 11:00-13:00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1C6CD-E478-4D55-9CE6-7AF7E7D5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26</cp:revision>
  <cp:lastPrinted>2020-03-13T12:00:00Z</cp:lastPrinted>
  <dcterms:created xsi:type="dcterms:W3CDTF">2020-03-13T12:06:00Z</dcterms:created>
  <dcterms:modified xsi:type="dcterms:W3CDTF">2022-12-22T11:51:00Z</dcterms:modified>
</cp:coreProperties>
</file>