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27.07.2020,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i/>
              <w:sz w:val="22"/>
              <w:szCs w:val="22"/>
            </w:rPr>
            <w:t>Virtueller Konferenzraum Vitero</w:t>
          </w:r>
        </w:sdtContent>
      </w:sdt>
    </w:p>
    <w:p>
      <w:pPr>
        <w:spacing w:after="120"/>
        <w:rPr>
          <w:b/>
          <w:sz w:val="22"/>
        </w:rPr>
      </w:pPr>
      <w:r>
        <w:rPr>
          <w:b/>
          <w:sz w:val="22"/>
        </w:rPr>
        <w:t>Moderation:  Lars Schaade</w:t>
      </w:r>
    </w:p>
    <w:p>
      <w:pPr>
        <w:tabs>
          <w:tab w:val="left" w:pos="6360"/>
        </w:tabs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  <w:r>
        <w:rPr>
          <w:b/>
          <w:sz w:val="22"/>
        </w:rPr>
        <w:tab/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</w:rPr>
      </w:pPr>
      <w:r>
        <w:rPr>
          <w:sz w:val="20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Lothar Wieler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AL1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Martin Mielke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</w:rPr>
      </w:pPr>
      <w:r>
        <w:rPr>
          <w:sz w:val="20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Melanie Brunke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Ralf Dürrwald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FG21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Patrick Schmich</w:t>
      </w:r>
    </w:p>
    <w:p>
      <w:pPr>
        <w:pStyle w:val="Listenabsatz"/>
        <w:numPr>
          <w:ilvl w:val="0"/>
          <w:numId w:val="5"/>
        </w:numPr>
        <w:spacing w:after="0"/>
        <w:contextualSpacing w:val="0"/>
        <w:rPr>
          <w:sz w:val="20"/>
        </w:rPr>
      </w:pPr>
      <w:r>
        <w:rPr>
          <w:sz w:val="20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Ariane Halm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Silke Buda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Sebastian Haller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</w:rPr>
      </w:pPr>
      <w:r>
        <w:rPr>
          <w:sz w:val="20"/>
        </w:rPr>
        <w:t>IBBS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0"/>
        </w:rPr>
      </w:pPr>
      <w:r>
        <w:rPr>
          <w:sz w:val="20"/>
        </w:rPr>
        <w:t>Christian Herzog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</w:rPr>
      </w:pPr>
      <w:r>
        <w:rPr>
          <w:sz w:val="20"/>
        </w:rPr>
        <w:t>P1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0"/>
        </w:rPr>
      </w:pPr>
      <w:r>
        <w:rPr>
          <w:sz w:val="20"/>
        </w:rPr>
        <w:t>Ines Lein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</w:rPr>
      </w:pPr>
      <w:r>
        <w:rPr>
          <w:sz w:val="20"/>
        </w:rPr>
        <w:t>Presse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0"/>
        </w:rPr>
      </w:pPr>
      <w:r>
        <w:rPr>
          <w:sz w:val="20"/>
        </w:rPr>
        <w:t>Jamela Seedat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0"/>
        </w:rPr>
      </w:pPr>
      <w:r>
        <w:rPr>
          <w:sz w:val="20"/>
        </w:rPr>
        <w:t>Susanne Glasmacher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ZBS1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Eva Krause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ZIG1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0"/>
        </w:rPr>
      </w:pPr>
      <w:r>
        <w:rPr>
          <w:sz w:val="20"/>
        </w:rPr>
        <w:t>Andreas Jansen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0"/>
        </w:rPr>
      </w:pPr>
      <w:r>
        <w:rPr>
          <w:sz w:val="20"/>
        </w:rPr>
        <w:t>Sarah Esquevin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Heidrun Thaiss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Bundeswehr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 xml:space="preserve">Katalyn Roßmann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BMG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</w:rPr>
      </w:pPr>
      <w:r>
        <w:rPr>
          <w:sz w:val="20"/>
        </w:rPr>
        <w:t>Irina Czogiel</w:t>
      </w:r>
    </w:p>
    <w:p>
      <w:pPr>
        <w:spacing w:after="0"/>
        <w:rPr>
          <w:sz w:val="22"/>
          <w:highlight w:val="yellow"/>
        </w:rPr>
      </w:pPr>
    </w:p>
    <w:p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Trendanalyse international, Maßnahmen (Folien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), weltweit über 16 Mio. und über 640.000 Todesfälle (4,0%)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10 Länder nach Anzahl neuer Fälle/letzte 7 Tage: wenig neues, Brasilien und Indien abwechselnd auf zweiter Position nach USA, absteigender Trend in Südafrika, Russland, Bangladesch</w:t>
            </w:r>
          </w:p>
          <w:p>
            <w:pPr>
              <w:pStyle w:val="Listenabsatz"/>
              <w:numPr>
                <w:ilvl w:val="1"/>
                <w:numId w:val="44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Länder mit 7-T.-I. &gt;50/100.000 Einw.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Wenig Veränderungen, heute 32 Länder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Europa neu: Bosnien Herzegowina und Moldawien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Afrika –Lage (&gt;700/letzte 7 Tage)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Fälle steigend in Libyen, Senegal, Simbabwe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Wenig Veränderung in den Kurven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Manche Länder führen Maßnahmen wieder ein: z.B. Südafrika heute bis 24.08. erneuter Schulschluss, in Marokko lokale Lockdowns mit Ein- und Ausreise verbot in 8 Städten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Nord- &amp; Südamerika –Lage (&gt;700/letzte 7 Tage)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Paraguay nicht mehr dabei ansonsten gleich, Trend überall steigend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58% der weltweit neuen Fälle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USA: Infektionsgeschehen verschiebt sich in den Südosten, Kalifornien und Florida überholen kumulative Fallzahlen von New York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Brasilien zwischenzeitlich leicht absteigender Trend, nun wieder Anstieg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Kanada ähnlich Westeuropa: Trend leicht steigend, lokal begrenzte Cluster in unterschiedlichen Einrichtungen und nach Zusammenkünften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Asien –Lage (&gt;700/letzte 7 Tage)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 dabei: China und Libanon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China heute höchste Fallzahl seit April, getrieben durch zwei Ausbrüche in Provinzen, u.a. in der  Hafenstadt Lianong in Verbindung mit einem seafood market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Hong Kong: steigende Fallzahlen, heute Ankündigung neuer Maßnahmen ab Mittwoch, nur noch 2 Personen dürfen sich treffen, MNB überall, Restaurants geschlossen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Japan: Rekordzahlen am Wochenende, nicht nur in Tokyo aber in ganzem Land, v.a. jüngere Fälle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Nordkorea: Meldung des ersten Verdachtsfalles, Person, die aus Südkorea nach Nordkorea eingereist ist, aus Sekretabstrichen unsichere </w:t>
            </w:r>
            <w:r>
              <w:rPr>
                <w:sz w:val="22"/>
                <w:szCs w:val="22"/>
              </w:rPr>
              <w:lastRenderedPageBreak/>
              <w:t>Testergebnisse, Notstand wurde im betroffenem Gebiet ausgerufen, Gesundheitsbehörden reden noch nicht von einem COVID-19-Fall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Vietnam: erneut autochthone 3 Fälle nach 100 Tagen ohne, Infektionsquelle unbekannt, Fall hat nach Symptombeginn eine Hochzeit besucht, 80.000 vietnamesische nationale Touristen werden zurück in ihre Heimatorte geführt</w:t>
            </w:r>
          </w:p>
          <w:p>
            <w:pPr>
              <w:pStyle w:val="Listenabsatz"/>
              <w:numPr>
                <w:ilvl w:val="1"/>
                <w:numId w:val="44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Europa –Lage (&gt;700/letzte 7 Tage)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Neu: Luxemburg, Montenegro, NL und Schweiz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Osteuropa und Balkan weiter exponentieller Anstieg, auch in West- und Südeuropa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mehreren Ländern Wiedereinführung von lokal begrenzten Einschränkungen 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GB: Quarantäne für einreisende aus Spanien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EURO berichtet (Stand KW29, vorletzte Woche): 27% der gemeldeten Infektionen (mit hierzu übermittelten Informationen) waren HCW (WHO EURO Zone), die meisten kumulativen Todesfälle waren in GB, gefolgt von Italien, Frankreich, Spanien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Ozeanien –Lage (&gt;700/letzte 7 Tage): Australien heute neue Rekordzahl mit 532 neuen Fällen, alle aus Victoria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Zusammenfassung: globaler Anstieg von Fällen, viele Länder verschärfen erneut ihre Maßnahmen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Diskussion </w:t>
            </w:r>
          </w:p>
          <w:p>
            <w:pPr>
              <w:pStyle w:val="Listenabsatz"/>
              <w:numPr>
                <w:ilvl w:val="1"/>
                <w:numId w:val="44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wäre interessant, den Fall-Verstorbenen-Anteil zwischen der 1. Und der 2. Welle zu evaluieren um deren Schwere zu vergleichen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Situation in USA: CDC hat ein Dashboard (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 wo die Krankenhauskapazitäten dargestellt sind</w:t>
            </w:r>
          </w:p>
          <w:p>
            <w:pPr>
              <w:pStyle w:val="Listenabsatz"/>
              <w:numPr>
                <w:ilvl w:val="1"/>
                <w:numId w:val="44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DIVI-Register in Deutschland ist Intensivstation-spezifisch, gibt es Daten zur Belastung des Vorintensivbereiches in Deutschland? </w:t>
            </w:r>
          </w:p>
          <w:p>
            <w:pPr>
              <w:pStyle w:val="Listenabsatz"/>
              <w:numPr>
                <w:ilvl w:val="1"/>
                <w:numId w:val="44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 die ICOSARI Sentinel-KKH gibt es einen guten Überblick zu deren Patienten (egal welcher Schwere), dies ist donnerstags im Lagebericht enthalten, Zahlen sind aktuell sehr rückläufig</w:t>
            </w:r>
          </w:p>
          <w:p>
            <w:pPr>
              <w:rPr>
                <w:i/>
                <w:sz w:val="22"/>
              </w:rPr>
            </w:pP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SurvNet übermittelt: 205.609 (+340), davon 9.118 (4,5%) Todesfälle (+0), Inzidenz 247/100.000 Einw., ca. 109.400 Genesene, Reff=1,28, 7T Reff=1,10 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Morgen mehr Aufschluss zur Fallzahlentwicklung, montags ist dies aufgrund des Wochenendverzugs nicht so zuverlässig (BW &amp; SN noch nicht übermittelt)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 sind nicht mehr rückläufig, R-Wert steigt, die BL-R-Kurven ähneln sich grob 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Inzidenzen: 7-T-I steigt nach Tiefpunkt um den 13.07. </w:t>
            </w:r>
            <w:r>
              <w:rPr>
                <w:sz w:val="22"/>
                <w:szCs w:val="22"/>
              </w:rPr>
              <w:lastRenderedPageBreak/>
              <w:t>wieder an, NW oben gefolgt von BY, dann BE, nur 88 LK ohne Fälle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Viele Fälle in großen Städten/Ballungsgebieten 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Ausbrüche 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Dingolfing Landau 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&gt;50/100.000 Einw., 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Erntehelfende in einem Landwirtschaftsbetrieb (primär Gurken)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Spezielle Entnahmetechnik im Liegen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sind sehr eng in Containern untergebracht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wurden getestet</w:t>
            </w:r>
          </w:p>
          <w:p>
            <w:pPr>
              <w:pStyle w:val="Listenabsatz"/>
              <w:numPr>
                <w:ilvl w:val="2"/>
                <w:numId w:val="44"/>
              </w:numPr>
              <w:ind w:left="1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Fallanteil ist für eine Tätigkeit im freien sehr hoch, 174/479 MA positiv 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Rostock Aida-Schiffe: Ausbruch unter MA philippinischer Abstammung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Hof: osteuropäische Großfamilie, Reihentestung läuft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Reisen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der Exposition im Ausland von allen Fällen ist relativ stabil um 10%, bei ausschließlicher Betrachtung derer, die eine Angabe haben, 18%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 sind noch nicht vollständig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Meist genannte Länder: 1. Deutschland (3.396) gefolgt von Kosovo, Serbien, Türkei, Bosnien Herzegowina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Expositionsort Reisende nach BL (Folie 11): gewisse Unterschiede der Reiseländer und Fallanteile, Balkanstaaten NW, BY, BW, Türkei häufig NW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Expositionsdaten sollten auch im Pressebriefing auftauchen um u zeigen, dass die meisten Fälle aus Deutschland kommen, Risikoverhalten ist wichtiger als Expositionsort, Arbeitsexposition und soziale Exposition spielen eine möglicherweise wichtigere Rolle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Fälle im Zusammenhang mit Balkanländern: viele arbeiten in Deutschland in der Gastronomie und Hotelbranche, kommen teilweise in Kleinbussen es sind nicht primär/nur Touristen sondern auch in Deutschland ansässige Personen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hat viele der am meisten betroffenen Kreise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 Kommentar von NW, es ist schwer, jemanden von dort zu fassen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GÄ in NW sind nicht froh über die Vorgehensweise, teilweise sehr gute MA vor Ort im ÖGD, jedoch nicht genug politische Unterstützung vorhanden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 kann das RKI die Situation verbessern, bzw. mehr Aufmerksamkeit darauf lenken? Bericht an BMG, im Lagebericht benennen? 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AL3 hatte Vorschlag der Darstellung der Daten im Lagebericht nach Ballungsgebieten, um einen stärkeren Fokus darauf zu legen, das Problem großer Städte mit hoher Bevölkerungsdichte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Gespräch hierzu ist morgen mit dem BMG (Holtherm) </w:t>
            </w:r>
            <w:r>
              <w:rPr>
                <w:sz w:val="22"/>
                <w:szCs w:val="22"/>
              </w:rPr>
              <w:lastRenderedPageBreak/>
              <w:t>geplant, VPräs und Ute Rexroth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Ute dann nicht für das Pressebriefing verfügbar ist muss jemand anderes hierfür gefunden werden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ZIG1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 xml:space="preserve"> (nur montags)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CWA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Flyer für MA der GA und ambulante Praxen (Links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 und </w:t>
            </w:r>
            <w:hyperlink r:id="rId12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1. Seite Einführung in die CWA Funktion, Infos zur Statusanzeige, keine Änderungen zu vorher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2. Seite wurden die Empfehlungen zum Umgang mit Risikomeldungen überarbeitet, insbesondere hinsichtlich der Unterscheidung von asymptoma-tischen und symptomatischen Personen, Vorgang wurde klarer/differenzierter erklärt, auch, wann Testung stattzufinden hat und zur KoNa KP Einstufung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Änderungen wurden mit der KBV abgestimmt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Inhaltlich sind die Flyer den Vorversionen äquivalent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Neue Versionen werden über RKI LZ zur Abstimmung ans BMG (Renner) geschickt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der Wochenendnachricht zum nicht-Funktionieren der CWA wird SAP erneut bestimmte Parameter überprüfen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TOP 5 der Probleme werden für das Pressebriefing morgen mit Antworten vorbereitet 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Alles was bezüglich CWA läuft muss mit BMG abgestimmt werden (auch aufgrund möglicher weiterer Kosten)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Weitere Arbeit an der App um sie lauffähig zu halten: Erfüllung der BfDI Auflagen, Verhinderung von Missbrauch, Anbindung der Labore und des ÖGD (zsm. mit Abt. 3)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Digitale Projekte 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Symptomchecker App bei der Charité und jetzt auch im RKI im Einsatz, Abschluss der Datenschutzbelange hat gedauert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Datenspende wird immer verlässlicher, Blog-einträge sind online einsehbar, aktuell wird daran gearbeitet diese zu automatisieren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FG37/FG21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</w:tc>
      </w:tr>
      <w:tr>
        <w:trPr>
          <w:trHeight w:val="518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Nichts neues seit letzter Version vom 17.07.2020</w:t>
            </w:r>
          </w:p>
          <w:p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 von Freitag (Bundesgesundheitsblatt) aufgenommen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Steigenden Fallzahlen: Entschluss dass nicht primär über die Zahlen kommuniziert werden soll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Werbung zur App wurde ausgetauscht gegen Propagierung der Reise- bzw. Urlaubszeit, AHA-Regeln mit Ziel alle Altersgruppen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Heute Nachmittag Gespräch über aktuelle Daten aus COSMO: insbesondere Kommunikation an junge Männer die feiern, adressieren über ihre eigenen Communities und die Kanäle „Liebesleben“ und „kenn Dein Limit“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Diskussion: Wie kann Allgemeinbevölkerung ohne Diskriminie-rung hinsichtlich soziale Verantwortung mitgenommen werden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Situation ist komplex: einerseits bestimmte Zielgruppen ohne zu stigmatisieren, dann Sommer, Urlaub, neue Freiheit genießen, Reisetätigkeit, laissez-fair Haltung, die Risikowahrnehmung ist nicht mehr wie vor 3-4 Monaten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Woche beginnen die ersten Schulöffnungen (z.B. NS) 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VPräs: in Japanischer Kommunikation werden gefährliche Expo-sitionssituationen illustriert, 3-C-Regel (crowded places usw.)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Holländer haben auch interessante Konzepte für junge Menschen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Morgen Pressebriefing mit Präs und MA aus Abt. 3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Viele Anfragen zu steigenden Fallzahlen, Verweis auf Webseite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Bundeswehr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Nichts zu berichten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Neues aus dem BMG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BMG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Außer GMK Beschluss nichts zu berichten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BMG Interesse an Infektionen im Flugverkehr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Bisher keine Erkenntnisse hierzu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Letzte Woche Anfragen an RKI, da Scheuer hat sich auf RKI bezogen hat bezüglich fehlender Sinnhaftigkeit von Abstandshaltung in Flugzeugen, dies ist falsch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internationale KoNa wurde Mitte April eingestellt, weil es so wenig Reiseverkehr gab, aber auch, weil keine Übertragungen im Flugzeug dokumentiert wurden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 hat sich geändert: noch keine detaillierte Auswertung aber 2-3 Berichte zu Einzelfällen (Israel, Frankreich)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Mitte Juni wurde die KoNa wieder aufgenommen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Komplex da Differenz der Expositonsrisiken in In- und Ausland sowie auf dem Flug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RKI Studie zur Auswertung inklusive Nachermittlung hierzu ist geplant, konnte trotz Bereitschaft wegen fehlender Datenschutz-Zustimmung noch nicht angefangen werden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Irina Czogiel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45"/>
              </w:num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GMK Beschluss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Testung von Reisenden aus Risikogebieten ist beschlossen und ist ohne Rücksprache erfolgt/widerspricht der RKI-Empfehlung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Spahn wird heute diesbezügliche Anordnung erlassen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ÖGD/GÄ und Landesebene denken, RKI wird konsultiert, dies ist bei vielen politischen Entscheidungen jedoch nicht der Fall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RKI muss diese Entscheidungen operativ umsetzen, z.B. auch bei Risikogebieten, dies wird missverstanden als ob RKI diese benennen/ausweisen würde, was nicht der Fall ist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Soll RKI sich positionieren? Wie steht RKI zu Freitestung?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Ggf. Aussage Risikoreduktion durch 1-malige Testung aber keine 100%-ige Sicherheit gibt, da lediglich ein paar Fälle herausgefischt werden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Keinesfalls sollen Vorsichtsmaßnahmen fallen gelassen werden, weitere Einhaltung der AHA-Regeln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Zunächst konzentrieren auf fachliche Aspekte, NPV, welche Sicherheit können die Testungen tatsächlich geben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Zweittestung Rückkehrer aus Risikogebieten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Ullmann (FDP) sprach heute Morgen im Radio von 2. Testung, da eine nicht als genügend angesehen wird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GMK Beschluss sieht auch zweimalige Testung vor, 2. Test soll „wenn immer möglich“ gemacht werden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Einordnung der Bedeutung: was heißt dies für die Zwischenzeit bis 2. Testergebnis vorliegt, mindestens konsequente Kontaktreduzierung und AHA-Regeln, Empfehlung für Allgemeinbevölkerung, stellt den Nutzen ggf. in Frage 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Wenn eine Quarantäne 4 Tage früher aufhört, hat dies bereits einen ökonomischen Impact bzw. Wert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Parallel sagen die Kinderärzte, dass symptomatische Kinder aus Kapazitätsgründen nicht getestet werden können, aber jede/r der/die aus einem Risikogebiet kommt, erhält zwei Testungen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Pädiatrische Fachgesellschaft ist nicht einstimmig, es gibt zusehends mehr Widersprüche, deswegen bleibt Testung symptomatischer Personen immer die Priorität 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 Diagnostik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FF ist ans BMG übergegangen, BMG lädt ein und definiert Themen 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BMG führt auch Protokoll, RKI hat dies abgelehnt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RKI hat am 07.07.2020 Bericht eingereicht, der auch auf der Webseite ist (unter nationaler Teststrategie bei Diagnostik)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Darin wurden Prioritäten nicht nummeriert sondern als a, b, c aufgeführt damit sie leichter auseinanderzuhalten sind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45"/>
              </w:num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FG32/alle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Entwurf zur Kontaktaufnahme im Umgang mit Roma und Sinti (vulnerablen Personengruppen) ist fertig und wird Mittwoch oder Freitag im Krisenstab präsentiert</w:t>
            </w:r>
          </w:p>
          <w:p>
            <w:pPr>
              <w:rPr>
                <w:i/>
                <w:sz w:val="2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FG32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 proben getestet, 50 (12,9%) positiv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Woche in Folge in der es ruhig ist (was Probenanzahl angeht), Zeit wird genutzt um die Kapazitäten zu erhöhen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Studienproben sollen ab September eingehen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Positivraten bei ZBS1 Proben sind hoch, was ist zur Testpopulation bekannt? 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sind vor allem Proben von Personen die in begründeter Quarantäne sind, Abstriche werden durch GÄ im Rahmen des KP Management genommen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Freitag findet ein ECDC Webinar zur Testung asymptomatischer Personen statt, AL1 wird dort berichten, Feedback von angeschriebenen Kollegen ist bis Mittwoch erwünscht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FG17: nicht neues, weiter hohe Nachweisraten von Rhinoviren, Proben sind auf alle anderen Erreger negativ</w:t>
            </w:r>
          </w:p>
          <w:p>
            <w:pPr>
              <w:rPr>
                <w:i/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AL1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COVRIIN: Vorstellung Studie Patientenversorgung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Heute um 15:00 Vorstellung der Daten aus der Studie, Einwahldaten bei Christian Herzog verfügbar, dies wird mögliche Konsequenzen für den ÖGD haben, interessierte bitte melden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VPräs, AL1 sind auch interessiert</w:t>
            </w:r>
          </w:p>
          <w:p>
            <w:pPr>
              <w:spacing w:line="276" w:lineRule="auto"/>
              <w:rPr>
                <w:i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Corona-KiTa-Studie: Erkrankungszahlen bei Kindern unter 10 Jahren </w:t>
            </w:r>
            <w:r>
              <w:rPr>
                <w:sz w:val="22"/>
                <w:szCs w:val="22"/>
              </w:rPr>
              <w:t xml:space="preserve">(Folien 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Wurde bereits letzte Woche ausführlich von Walter Haas vorgestellt, die Studie selbst ist im Foliensatz erklärt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Aktuell ist der 3. Monatsbericht (mit Daten aus GrippeWeb, ARE und Meldedaten) in Vorbereitung 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nach Altersgruppen: in letzten 2 Wochen stieg der Anteil der 11-14-jährigen, möglicherweise durch außerschulische Kontakte, verschiedene Altersgruppen müssen differenziert betrachtet werden da Jugendliche ggf. eher außerhalb der Schule exponiert sind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in Einrichtungen für Kinder: 31 Ausbrüche (mit mindestens 2 Fällen) wurden angelegt, Altersgruppen häufig &gt;14 Jahre, auch Betreuende sind oft betroffen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 BY gibt es einen Kita-Ausbruch, ansonsten nichts neues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Schulausbrüche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letzten zwei Wochen nichts hinzugekommen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interessant, wenn die Schulferien enden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Logistisch sollten noch Anpassungen vorgenommen werden um möglichst wenig Risiko zu haben</w:t>
            </w:r>
          </w:p>
          <w:p>
            <w:pPr>
              <w:pStyle w:val="Listenabsatz"/>
              <w:numPr>
                <w:ilvl w:val="1"/>
                <w:numId w:val="31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Kinder infizieren sicher eher an Jugendlichen und Erwachsenen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Wegen GMK Beschluss oben unter Strategie erwähnt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Neue Betriebszeiten am Wochenende (bereits Fr angekündigt)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Diesen Freitag 200. Betriebstag 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Heute 15:00: Vorstellen 1. Ergebnisse der COVRIIN Studie zur Patientenversorgung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Morgen 10:00: RKI-Pressebriefing</w:t>
            </w:r>
          </w:p>
          <w:p>
            <w:pPr>
              <w:rPr>
                <w:b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Nächste Sitzung: Mittwoch, 29.07.2020, 11:00 Uhr, via Vitero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0"/>
        <w:rPr>
          <w:sz w:val="22"/>
          <w:highlight w:val="yellow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7824"/>
    <w:multiLevelType w:val="hybridMultilevel"/>
    <w:tmpl w:val="9ED49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E55"/>
    <w:multiLevelType w:val="hybridMultilevel"/>
    <w:tmpl w:val="4E1A912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737CF"/>
    <w:multiLevelType w:val="hybridMultilevel"/>
    <w:tmpl w:val="A198B0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50161"/>
    <w:multiLevelType w:val="hybridMultilevel"/>
    <w:tmpl w:val="1922A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4327"/>
    <w:multiLevelType w:val="hybridMultilevel"/>
    <w:tmpl w:val="F93625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979"/>
    <w:multiLevelType w:val="hybridMultilevel"/>
    <w:tmpl w:val="45764AC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E51AC878">
      <w:start w:val="1"/>
      <w:numFmt w:val="bullet"/>
      <w:lvlText w:val="-"/>
      <w:lvlJc w:val="left"/>
      <w:pPr>
        <w:ind w:left="468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2849"/>
    <w:multiLevelType w:val="hybridMultilevel"/>
    <w:tmpl w:val="FC6E9F7A"/>
    <w:lvl w:ilvl="0" w:tplc="77B04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C67DD"/>
    <w:multiLevelType w:val="hybridMultilevel"/>
    <w:tmpl w:val="8FB83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F6FE9"/>
    <w:multiLevelType w:val="hybridMultilevel"/>
    <w:tmpl w:val="10805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47304"/>
    <w:multiLevelType w:val="hybridMultilevel"/>
    <w:tmpl w:val="C3485AA0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C212D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A07E2"/>
    <w:multiLevelType w:val="hybridMultilevel"/>
    <w:tmpl w:val="2F145C3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77DEE"/>
    <w:multiLevelType w:val="hybridMultilevel"/>
    <w:tmpl w:val="DF240308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6B3F35"/>
    <w:multiLevelType w:val="hybridMultilevel"/>
    <w:tmpl w:val="2B76A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31578"/>
    <w:multiLevelType w:val="hybridMultilevel"/>
    <w:tmpl w:val="5024F0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633CA"/>
    <w:multiLevelType w:val="hybridMultilevel"/>
    <w:tmpl w:val="313C207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6456F5"/>
    <w:multiLevelType w:val="hybridMultilevel"/>
    <w:tmpl w:val="472A7808"/>
    <w:lvl w:ilvl="0" w:tplc="42E83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3F4"/>
    <w:multiLevelType w:val="hybridMultilevel"/>
    <w:tmpl w:val="4B020A48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C212D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418FF"/>
    <w:multiLevelType w:val="hybridMultilevel"/>
    <w:tmpl w:val="53C6567A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F13A1"/>
    <w:multiLevelType w:val="hybridMultilevel"/>
    <w:tmpl w:val="0028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B44C8"/>
    <w:multiLevelType w:val="hybridMultilevel"/>
    <w:tmpl w:val="C9B49F4C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D10A8A"/>
    <w:multiLevelType w:val="hybridMultilevel"/>
    <w:tmpl w:val="7EFE77B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F0180D"/>
    <w:multiLevelType w:val="hybridMultilevel"/>
    <w:tmpl w:val="E8023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C4816"/>
    <w:multiLevelType w:val="hybridMultilevel"/>
    <w:tmpl w:val="675C8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A7A9B"/>
    <w:multiLevelType w:val="hybridMultilevel"/>
    <w:tmpl w:val="DF2087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7F4FB2"/>
    <w:multiLevelType w:val="hybridMultilevel"/>
    <w:tmpl w:val="6012E6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8161FE"/>
    <w:multiLevelType w:val="hybridMultilevel"/>
    <w:tmpl w:val="B20A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533F5"/>
    <w:multiLevelType w:val="hybridMultilevel"/>
    <w:tmpl w:val="00E48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23E21"/>
    <w:multiLevelType w:val="hybridMultilevel"/>
    <w:tmpl w:val="6760482C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73E87"/>
    <w:multiLevelType w:val="hybridMultilevel"/>
    <w:tmpl w:val="3D00A4FE"/>
    <w:lvl w:ilvl="0" w:tplc="39A83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E763D"/>
    <w:multiLevelType w:val="hybridMultilevel"/>
    <w:tmpl w:val="3552D348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D4259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95618"/>
    <w:multiLevelType w:val="hybridMultilevel"/>
    <w:tmpl w:val="18E0A4D6"/>
    <w:lvl w:ilvl="0" w:tplc="E51AC878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62AA0"/>
    <w:multiLevelType w:val="hybridMultilevel"/>
    <w:tmpl w:val="EE5A9F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114FE"/>
    <w:multiLevelType w:val="hybridMultilevel"/>
    <w:tmpl w:val="FAE82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537FB"/>
    <w:multiLevelType w:val="hybridMultilevel"/>
    <w:tmpl w:val="5D4A4516"/>
    <w:lvl w:ilvl="0" w:tplc="BCF81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036B6"/>
    <w:multiLevelType w:val="hybridMultilevel"/>
    <w:tmpl w:val="5476C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5"/>
  </w:num>
  <w:num w:numId="4">
    <w:abstractNumId w:val="5"/>
  </w:num>
  <w:num w:numId="5">
    <w:abstractNumId w:val="24"/>
  </w:num>
  <w:num w:numId="6">
    <w:abstractNumId w:val="9"/>
  </w:num>
  <w:num w:numId="7">
    <w:abstractNumId w:val="21"/>
  </w:num>
  <w:num w:numId="8">
    <w:abstractNumId w:val="8"/>
  </w:num>
  <w:num w:numId="9">
    <w:abstractNumId w:val="14"/>
  </w:num>
  <w:num w:numId="10">
    <w:abstractNumId w:val="19"/>
  </w:num>
  <w:num w:numId="11">
    <w:abstractNumId w:val="40"/>
  </w:num>
  <w:num w:numId="12">
    <w:abstractNumId w:val="3"/>
  </w:num>
  <w:num w:numId="13">
    <w:abstractNumId w:val="41"/>
  </w:num>
  <w:num w:numId="14">
    <w:abstractNumId w:val="18"/>
  </w:num>
  <w:num w:numId="15">
    <w:abstractNumId w:val="20"/>
  </w:num>
  <w:num w:numId="16">
    <w:abstractNumId w:val="1"/>
  </w:num>
  <w:num w:numId="17">
    <w:abstractNumId w:val="35"/>
  </w:num>
  <w:num w:numId="18">
    <w:abstractNumId w:val="12"/>
  </w:num>
  <w:num w:numId="19">
    <w:abstractNumId w:val="32"/>
  </w:num>
  <w:num w:numId="20">
    <w:abstractNumId w:val="29"/>
  </w:num>
  <w:num w:numId="21">
    <w:abstractNumId w:val="42"/>
  </w:num>
  <w:num w:numId="22">
    <w:abstractNumId w:val="4"/>
  </w:num>
  <w:num w:numId="23">
    <w:abstractNumId w:val="15"/>
  </w:num>
  <w:num w:numId="24">
    <w:abstractNumId w:val="23"/>
  </w:num>
  <w:num w:numId="25">
    <w:abstractNumId w:val="34"/>
  </w:num>
  <w:num w:numId="26">
    <w:abstractNumId w:val="36"/>
  </w:num>
  <w:num w:numId="27">
    <w:abstractNumId w:val="0"/>
  </w:num>
  <w:num w:numId="28">
    <w:abstractNumId w:val="30"/>
  </w:num>
  <w:num w:numId="29">
    <w:abstractNumId w:val="10"/>
  </w:num>
  <w:num w:numId="30">
    <w:abstractNumId w:val="39"/>
  </w:num>
  <w:num w:numId="31">
    <w:abstractNumId w:val="13"/>
  </w:num>
  <w:num w:numId="32">
    <w:abstractNumId w:val="31"/>
  </w:num>
  <w:num w:numId="33">
    <w:abstractNumId w:val="33"/>
  </w:num>
  <w:num w:numId="34">
    <w:abstractNumId w:val="22"/>
  </w:num>
  <w:num w:numId="35">
    <w:abstractNumId w:val="26"/>
  </w:num>
  <w:num w:numId="36">
    <w:abstractNumId w:val="28"/>
  </w:num>
  <w:num w:numId="37">
    <w:abstractNumId w:val="11"/>
  </w:num>
  <w:num w:numId="38">
    <w:abstractNumId w:val="17"/>
  </w:num>
  <w:num w:numId="39">
    <w:abstractNumId w:val="38"/>
  </w:num>
  <w:num w:numId="40">
    <w:abstractNumId w:val="2"/>
  </w:num>
  <w:num w:numId="41">
    <w:abstractNumId w:val="6"/>
  </w:num>
  <w:num w:numId="42">
    <w:abstractNumId w:val="37"/>
  </w:num>
  <w:num w:numId="43">
    <w:abstractNumId w:val="27"/>
  </w:num>
  <w:num w:numId="44">
    <w:abstractNumId w:val="13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E066974-9A1A-4640-A7A7-CBDC37F1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VID-19_International_Lage_2020-07-27.pptx" TargetMode="External"/><Relationship Id="rId13" Type="http://schemas.openxmlformats.org/officeDocument/2006/relationships/hyperlink" Target="CoronaKita_Krisenstab_2020-07-27.ppt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20200723_RKI%20Corona-Warn-App_Relaunch_V2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0200623_RKI%20Corona-Warn-App_Relaunch_V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Lage-National_2020-07-27.ppt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rotect-public.hhs.gov/pages/hospital-capacity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7873-EA97-47DA-A90C-274531F1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2184</Words>
  <Characters>13764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Grote, Ulrike</cp:lastModifiedBy>
  <cp:revision>13</cp:revision>
  <dcterms:created xsi:type="dcterms:W3CDTF">2020-07-27T05:30:00Z</dcterms:created>
  <dcterms:modified xsi:type="dcterms:W3CDTF">2021-05-10T14:12:00Z</dcterms:modified>
</cp:coreProperties>
</file>