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F6" w:rsidRPr="00687C20" w:rsidRDefault="00687C20" w:rsidP="0089170F">
      <w:pPr>
        <w:pStyle w:val="NurText"/>
        <w:spacing w:before="120" w:line="276" w:lineRule="auto"/>
        <w:jc w:val="both"/>
        <w:rPr>
          <w:rFonts w:ascii="Arial" w:hAnsi="Arial" w:cs="Arial"/>
          <w:b/>
          <w:u w:val="single"/>
        </w:rPr>
      </w:pPr>
      <w:r w:rsidRPr="00687C20">
        <w:rPr>
          <w:rFonts w:ascii="Arial" w:hAnsi="Arial" w:cs="Arial"/>
          <w:b/>
          <w:u w:val="single"/>
        </w:rPr>
        <w:t>ZUSAMMENFASSUNG</w:t>
      </w:r>
    </w:p>
    <w:p w:rsidR="00E257B6" w:rsidRPr="00F50A10" w:rsidRDefault="00E257B6" w:rsidP="0089170F">
      <w:pPr>
        <w:pStyle w:val="NurText"/>
        <w:spacing w:before="120" w:line="276" w:lineRule="auto"/>
        <w:jc w:val="both"/>
        <w:rPr>
          <w:rFonts w:ascii="Arial" w:hAnsi="Arial" w:cs="Arial"/>
          <w:b/>
        </w:rPr>
      </w:pPr>
      <w:r w:rsidRPr="00E257B6">
        <w:rPr>
          <w:rFonts w:ascii="Arial" w:hAnsi="Arial" w:cs="Arial"/>
          <w:b/>
        </w:rPr>
        <w:t xml:space="preserve">Obwohl SARS-CoV-2 Reinfektionen in der Fachliteratur </w:t>
      </w:r>
      <w:r w:rsidR="00F658FA">
        <w:rPr>
          <w:rFonts w:ascii="Arial" w:hAnsi="Arial" w:cs="Arial"/>
          <w:b/>
        </w:rPr>
        <w:t>bisher</w:t>
      </w:r>
      <w:r w:rsidRPr="00E257B6">
        <w:rPr>
          <w:rFonts w:ascii="Arial" w:hAnsi="Arial" w:cs="Arial"/>
          <w:b/>
        </w:rPr>
        <w:t xml:space="preserve"> nicht beschrieben sind, </w:t>
      </w:r>
      <w:r w:rsidR="00D95333">
        <w:rPr>
          <w:rFonts w:ascii="Arial" w:hAnsi="Arial" w:cs="Arial"/>
          <w:b/>
        </w:rPr>
        <w:t>gibt es</w:t>
      </w:r>
      <w:r w:rsidR="00B3007E">
        <w:rPr>
          <w:rFonts w:ascii="Arial" w:hAnsi="Arial" w:cs="Arial"/>
          <w:b/>
        </w:rPr>
        <w:t xml:space="preserve"> glaubhafte </w:t>
      </w:r>
      <w:r w:rsidRPr="00E257B6">
        <w:rPr>
          <w:rFonts w:ascii="Arial" w:hAnsi="Arial" w:cs="Arial"/>
          <w:b/>
        </w:rPr>
        <w:t>Berichte</w:t>
      </w:r>
      <w:r w:rsidR="00D95333">
        <w:rPr>
          <w:rFonts w:ascii="Arial" w:hAnsi="Arial" w:cs="Arial"/>
          <w:b/>
        </w:rPr>
        <w:t xml:space="preserve"> über solche Reinfektionen</w:t>
      </w:r>
      <w:r w:rsidRPr="00E257B6">
        <w:rPr>
          <w:rFonts w:ascii="Arial" w:hAnsi="Arial" w:cs="Arial"/>
          <w:b/>
        </w:rPr>
        <w:t>. Vor dem Hintergrund bisheriger Erkenntnisse zu anderen Coronaviren und zur  Immunität gegen SARS-CoV-2 vermuten wir, dass Reinfektionen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durchaus vorkommen, insbesondere wenn die erste Infektion mild </w:t>
      </w:r>
      <w:r w:rsidR="00F658FA">
        <w:rPr>
          <w:rFonts w:ascii="Arial" w:hAnsi="Arial" w:cs="Arial"/>
          <w:b/>
        </w:rPr>
        <w:t>verlief</w:t>
      </w:r>
      <w:r>
        <w:rPr>
          <w:rFonts w:ascii="Arial" w:hAnsi="Arial" w:cs="Arial"/>
          <w:b/>
        </w:rPr>
        <w:t xml:space="preserve">. </w:t>
      </w:r>
      <w:r w:rsidRPr="00885DF1">
        <w:rPr>
          <w:rFonts w:ascii="Arial" w:hAnsi="Arial" w:cs="Arial"/>
          <w:b/>
        </w:rPr>
        <w:t xml:space="preserve">Je weniger Zeit seit Erstinfektion verstrichen ist, desto leichter könnte der klinische Verlauf </w:t>
      </w:r>
      <w:r w:rsidR="00F658FA">
        <w:rPr>
          <w:rFonts w:ascii="Arial" w:hAnsi="Arial" w:cs="Arial"/>
          <w:b/>
        </w:rPr>
        <w:t>ein</w:t>
      </w:r>
      <w:r w:rsidRPr="00885DF1">
        <w:rPr>
          <w:rFonts w:ascii="Arial" w:hAnsi="Arial" w:cs="Arial"/>
          <w:b/>
        </w:rPr>
        <w:t>er Reinfektion sein</w:t>
      </w:r>
      <w:r>
        <w:rPr>
          <w:rFonts w:ascii="Arial" w:hAnsi="Arial" w:cs="Arial"/>
          <w:b/>
        </w:rPr>
        <w:t xml:space="preserve">. </w:t>
      </w:r>
      <w:r w:rsidRPr="00E257B6">
        <w:rPr>
          <w:rFonts w:ascii="Arial" w:hAnsi="Arial" w:cs="Arial"/>
        </w:rPr>
        <w:t xml:space="preserve">Andererseits bestehen zumindest theoretische Befürchtungen, dass SARS-CoV-2 Reinfektionen aufgrund von </w:t>
      </w:r>
      <w:r w:rsidR="009649E8" w:rsidRPr="00F658FA">
        <w:rPr>
          <w:rFonts w:ascii="Arial" w:hAnsi="Arial" w:cs="Arial"/>
          <w:i/>
          <w:u w:val="single"/>
        </w:rPr>
        <w:t>A</w:t>
      </w:r>
      <w:r w:rsidR="009649E8" w:rsidRPr="00F658FA">
        <w:rPr>
          <w:rFonts w:ascii="Arial" w:hAnsi="Arial" w:cs="Arial"/>
          <w:i/>
        </w:rPr>
        <w:t>ntibody-</w:t>
      </w:r>
      <w:r w:rsidR="009649E8" w:rsidRPr="00F658FA">
        <w:rPr>
          <w:rFonts w:ascii="Arial" w:hAnsi="Arial" w:cs="Arial"/>
          <w:i/>
          <w:u w:val="single"/>
        </w:rPr>
        <w:t>d</w:t>
      </w:r>
      <w:r w:rsidR="009649E8" w:rsidRPr="00F658FA">
        <w:rPr>
          <w:rFonts w:ascii="Arial" w:hAnsi="Arial" w:cs="Arial"/>
          <w:i/>
        </w:rPr>
        <w:t xml:space="preserve">ependent </w:t>
      </w:r>
      <w:r w:rsidR="009649E8" w:rsidRPr="00F658FA">
        <w:rPr>
          <w:rFonts w:ascii="Arial" w:hAnsi="Arial" w:cs="Arial"/>
          <w:i/>
          <w:u w:val="single"/>
        </w:rPr>
        <w:t>e</w:t>
      </w:r>
      <w:r w:rsidR="009649E8" w:rsidRPr="00F658FA">
        <w:rPr>
          <w:rFonts w:ascii="Arial" w:hAnsi="Arial" w:cs="Arial"/>
          <w:i/>
        </w:rPr>
        <w:t>nhancement</w:t>
      </w:r>
      <w:r w:rsidR="009649E8">
        <w:rPr>
          <w:rFonts w:ascii="Arial" w:hAnsi="Arial" w:cs="Arial"/>
        </w:rPr>
        <w:t xml:space="preserve"> (</w:t>
      </w:r>
      <w:r w:rsidR="009649E8" w:rsidRPr="00F658FA">
        <w:rPr>
          <w:rFonts w:ascii="Arial" w:hAnsi="Arial" w:cs="Arial"/>
        </w:rPr>
        <w:t>ADE</w:t>
      </w:r>
      <w:r w:rsidR="009649E8" w:rsidRPr="00A61E6B">
        <w:rPr>
          <w:rFonts w:ascii="Arial" w:hAnsi="Arial" w:cs="Arial"/>
        </w:rPr>
        <w:t>)</w:t>
      </w:r>
      <w:r w:rsidR="009649E8">
        <w:rPr>
          <w:rFonts w:ascii="Arial" w:hAnsi="Arial" w:cs="Arial"/>
        </w:rPr>
        <w:t xml:space="preserve"> </w:t>
      </w:r>
      <w:r w:rsidRPr="00E257B6">
        <w:rPr>
          <w:rFonts w:ascii="Arial" w:hAnsi="Arial" w:cs="Arial"/>
        </w:rPr>
        <w:t>in schwereren klinischen Verläufen resultieren könnten</w:t>
      </w:r>
      <w:r>
        <w:rPr>
          <w:rFonts w:ascii="Arial" w:hAnsi="Arial" w:cs="Arial"/>
        </w:rPr>
        <w:t xml:space="preserve">. Auch daraus ergibt sich die </w:t>
      </w:r>
      <w:r w:rsidRPr="00F50A10">
        <w:rPr>
          <w:rFonts w:ascii="Arial" w:hAnsi="Arial" w:cs="Arial"/>
          <w:b/>
        </w:rPr>
        <w:t xml:space="preserve">Notwendigkeit, den </w:t>
      </w:r>
      <w:r w:rsidR="00F658FA" w:rsidRPr="00F50A10">
        <w:rPr>
          <w:rFonts w:ascii="Arial" w:hAnsi="Arial" w:cs="Arial"/>
          <w:b/>
        </w:rPr>
        <w:t xml:space="preserve">klinischen </w:t>
      </w:r>
      <w:r w:rsidRPr="00F50A10">
        <w:rPr>
          <w:rFonts w:ascii="Arial" w:hAnsi="Arial" w:cs="Arial"/>
          <w:b/>
        </w:rPr>
        <w:t>Ve</w:t>
      </w:r>
      <w:r w:rsidR="009649E8" w:rsidRPr="00F50A10">
        <w:rPr>
          <w:rFonts w:ascii="Arial" w:hAnsi="Arial" w:cs="Arial"/>
          <w:b/>
        </w:rPr>
        <w:t xml:space="preserve">rdacht einer </w:t>
      </w:r>
      <w:r w:rsidR="00B3007E">
        <w:rPr>
          <w:rFonts w:ascii="Arial" w:hAnsi="Arial" w:cs="Arial"/>
          <w:b/>
        </w:rPr>
        <w:t>Rei</w:t>
      </w:r>
      <w:r w:rsidR="009649E8" w:rsidRPr="00F50A10">
        <w:rPr>
          <w:rFonts w:ascii="Arial" w:hAnsi="Arial" w:cs="Arial"/>
          <w:b/>
        </w:rPr>
        <w:t>nfektion ernstzu</w:t>
      </w:r>
      <w:r w:rsidRPr="00F50A10">
        <w:rPr>
          <w:rFonts w:ascii="Arial" w:hAnsi="Arial" w:cs="Arial"/>
          <w:b/>
        </w:rPr>
        <w:t xml:space="preserve">nehmen und </w:t>
      </w:r>
      <w:r w:rsidR="009649E8" w:rsidRPr="00F50A10">
        <w:rPr>
          <w:rFonts w:ascii="Arial" w:hAnsi="Arial" w:cs="Arial"/>
          <w:b/>
        </w:rPr>
        <w:t>bei der Diagnostik mit Bedacht vorzugehen.</w:t>
      </w:r>
    </w:p>
    <w:p w:rsidR="00F50A10" w:rsidRDefault="002F3008" w:rsidP="002F3008">
      <w:pPr>
        <w:pStyle w:val="NurText"/>
        <w:spacing w:line="276" w:lineRule="auto"/>
        <w:jc w:val="both"/>
        <w:rPr>
          <w:rFonts w:ascii="Arial" w:hAnsi="Arial" w:cs="Arial"/>
        </w:rPr>
      </w:pPr>
      <w:r w:rsidRPr="002F3008">
        <w:rPr>
          <w:rFonts w:ascii="Arial" w:hAnsi="Arial" w:cs="Arial"/>
          <w:b/>
        </w:rPr>
        <w:t>Reinfektionen müssen abgegrenzt werden von den sehr häufig (30%) vorkommenden „re-positiven“ PCRs. In dem Zusammenhang ist v.a. der zeitliche Abstand zur gesicherten Erstinfektion wichtig</w:t>
      </w:r>
      <w:r>
        <w:rPr>
          <w:rFonts w:ascii="Arial" w:hAnsi="Arial" w:cs="Arial"/>
        </w:rPr>
        <w:t xml:space="preserve"> (&lt;6-8 Wochen spricht für re-positive PCR). </w:t>
      </w:r>
      <w:r w:rsidRPr="00F50A10">
        <w:rPr>
          <w:rFonts w:ascii="Arial" w:hAnsi="Arial" w:cs="Arial"/>
          <w:b/>
        </w:rPr>
        <w:t xml:space="preserve">Ausserdem sollte </w:t>
      </w:r>
      <w:r w:rsidR="00BC3D0F" w:rsidRPr="00F50A10">
        <w:rPr>
          <w:rFonts w:ascii="Arial" w:hAnsi="Arial" w:cs="Arial"/>
          <w:b/>
        </w:rPr>
        <w:t>man</w:t>
      </w:r>
      <w:r w:rsidR="00BC3D0F">
        <w:rPr>
          <w:rFonts w:ascii="Arial" w:hAnsi="Arial" w:cs="Arial"/>
        </w:rPr>
        <w:t xml:space="preserve"> </w:t>
      </w:r>
      <w:r w:rsidRPr="00BC3D0F">
        <w:rPr>
          <w:rFonts w:ascii="Arial" w:hAnsi="Arial" w:cs="Arial"/>
          <w:b/>
        </w:rPr>
        <w:t xml:space="preserve">Infektion mit einem anderen respiratorischen </w:t>
      </w:r>
      <w:r w:rsidR="00BC3D0F" w:rsidRPr="00BC3D0F">
        <w:rPr>
          <w:rFonts w:ascii="Arial" w:hAnsi="Arial" w:cs="Arial"/>
          <w:b/>
        </w:rPr>
        <w:t>Erreger ausschließen</w:t>
      </w:r>
      <w:r w:rsidR="00BC3D0F">
        <w:rPr>
          <w:rFonts w:ascii="Arial" w:hAnsi="Arial" w:cs="Arial"/>
        </w:rPr>
        <w:t xml:space="preserve"> (die für erneute Symptomatik verantwortlich sein könnte). </w:t>
      </w:r>
    </w:p>
    <w:p w:rsidR="00F50A10" w:rsidRDefault="00F50A10" w:rsidP="00F50A10">
      <w:pPr>
        <w:pStyle w:val="NurText"/>
        <w:spacing w:line="276" w:lineRule="auto"/>
        <w:jc w:val="both"/>
        <w:rPr>
          <w:rFonts w:ascii="Arial" w:hAnsi="Arial" w:cs="Arial"/>
        </w:rPr>
      </w:pPr>
      <w:r w:rsidRPr="00F50A10">
        <w:rPr>
          <w:rFonts w:ascii="Arial" w:hAnsi="Arial" w:cs="Arial"/>
          <w:b/>
        </w:rPr>
        <w:t xml:space="preserve">Reaktivierung eines persistierenden Virus ließe sich beispielsweise durch </w:t>
      </w:r>
      <w:r w:rsidR="00687C20">
        <w:rPr>
          <w:rFonts w:ascii="Arial" w:hAnsi="Arial" w:cs="Arial"/>
          <w:b/>
        </w:rPr>
        <w:t>den Vergleich der</w:t>
      </w:r>
      <w:r w:rsidRPr="00F50A10">
        <w:rPr>
          <w:rFonts w:ascii="Arial" w:hAnsi="Arial" w:cs="Arial"/>
          <w:b/>
        </w:rPr>
        <w:t xml:space="preserve"> genetischen Sequenz</w:t>
      </w:r>
      <w:r w:rsidR="00687C20">
        <w:rPr>
          <w:rFonts w:ascii="Arial" w:hAnsi="Arial" w:cs="Arial"/>
          <w:b/>
        </w:rPr>
        <w:t>e</w:t>
      </w:r>
      <w:r w:rsidR="00B3007E">
        <w:rPr>
          <w:rFonts w:ascii="Arial" w:hAnsi="Arial" w:cs="Arial"/>
          <w:b/>
        </w:rPr>
        <w:t>n</w:t>
      </w:r>
      <w:r w:rsidRPr="00F50A10">
        <w:rPr>
          <w:rFonts w:ascii="Arial" w:hAnsi="Arial" w:cs="Arial"/>
          <w:b/>
        </w:rPr>
        <w:t xml:space="preserve"> ausschließen</w:t>
      </w:r>
      <w:r>
        <w:rPr>
          <w:rFonts w:ascii="Arial" w:hAnsi="Arial" w:cs="Arial"/>
        </w:rPr>
        <w:t xml:space="preserve">. </w:t>
      </w:r>
      <w:r w:rsidR="00BC3D0F">
        <w:rPr>
          <w:rFonts w:ascii="Arial" w:hAnsi="Arial" w:cs="Arial"/>
        </w:rPr>
        <w:t xml:space="preserve">  </w:t>
      </w:r>
      <w:r w:rsidR="002F3008">
        <w:rPr>
          <w:rFonts w:ascii="Arial" w:hAnsi="Arial" w:cs="Arial"/>
        </w:rPr>
        <w:t xml:space="preserve"> </w:t>
      </w:r>
    </w:p>
    <w:p w:rsidR="00F50A10" w:rsidRDefault="00F50A10" w:rsidP="00F50A10">
      <w:pPr>
        <w:pStyle w:val="NurText"/>
        <w:spacing w:line="276" w:lineRule="auto"/>
        <w:jc w:val="both"/>
        <w:rPr>
          <w:rFonts w:ascii="Arial" w:hAnsi="Arial" w:cs="Arial"/>
        </w:rPr>
      </w:pPr>
    </w:p>
    <w:p w:rsidR="00F50A10" w:rsidRDefault="00F50A10" w:rsidP="00F50A10">
      <w:pPr>
        <w:pStyle w:val="NurText"/>
        <w:spacing w:line="276" w:lineRule="auto"/>
        <w:jc w:val="both"/>
        <w:rPr>
          <w:rFonts w:ascii="Arial" w:hAnsi="Arial" w:cs="Arial"/>
        </w:rPr>
      </w:pPr>
    </w:p>
    <w:p w:rsidR="00C8079C" w:rsidRPr="00687C20" w:rsidRDefault="00363A51" w:rsidP="00F50A10">
      <w:pPr>
        <w:pStyle w:val="NurText"/>
        <w:spacing w:line="276" w:lineRule="auto"/>
        <w:jc w:val="both"/>
        <w:rPr>
          <w:rFonts w:ascii="Arial" w:hAnsi="Arial" w:cs="Arial"/>
          <w:b/>
          <w:u w:val="single"/>
        </w:rPr>
      </w:pPr>
      <w:r w:rsidRPr="00687C20">
        <w:rPr>
          <w:rFonts w:ascii="Arial" w:hAnsi="Arial" w:cs="Arial"/>
          <w:b/>
          <w:u w:val="single"/>
        </w:rPr>
        <w:t>Allgemein</w:t>
      </w:r>
    </w:p>
    <w:p w:rsidR="00946E10" w:rsidRDefault="00D95333" w:rsidP="00BE4DEB">
      <w:pPr>
        <w:pStyle w:val="Nur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Eine Rei</w:t>
      </w:r>
      <w:r w:rsidR="00426A27" w:rsidRPr="00A267AB">
        <w:rPr>
          <w:rFonts w:ascii="Arial" w:hAnsi="Arial" w:cs="Arial"/>
          <w:b/>
        </w:rPr>
        <w:t>nfektion ist eine erneute Infektion mit demselben Erreger.</w:t>
      </w:r>
      <w:r w:rsidR="00426A27" w:rsidRPr="00BE4DEB">
        <w:rPr>
          <w:rFonts w:ascii="Arial" w:hAnsi="Arial" w:cs="Arial"/>
        </w:rPr>
        <w:t xml:space="preserve"> In Abhängigkeit von der individuellen Immunantwort können </w:t>
      </w:r>
      <w:r>
        <w:rPr>
          <w:rFonts w:ascii="Arial" w:hAnsi="Arial" w:cs="Arial"/>
        </w:rPr>
        <w:t>Rei</w:t>
      </w:r>
      <w:r w:rsidR="00295933">
        <w:rPr>
          <w:rFonts w:ascii="Arial" w:hAnsi="Arial" w:cs="Arial"/>
        </w:rPr>
        <w:t>nfektionen</w:t>
      </w:r>
      <w:r w:rsidR="00295933" w:rsidRPr="00BE4DEB">
        <w:rPr>
          <w:rFonts w:ascii="Arial" w:hAnsi="Arial" w:cs="Arial"/>
        </w:rPr>
        <w:t xml:space="preserve"> </w:t>
      </w:r>
      <w:r w:rsidR="00426A27" w:rsidRPr="00BE4DEB">
        <w:rPr>
          <w:rFonts w:ascii="Arial" w:hAnsi="Arial" w:cs="Arial"/>
        </w:rPr>
        <w:t xml:space="preserve">bereits Wochen bis Monate nach der Erstinfektion erfolgen, </w:t>
      </w:r>
      <w:r w:rsidR="00C8079C">
        <w:rPr>
          <w:rFonts w:ascii="Arial" w:hAnsi="Arial" w:cs="Arial"/>
        </w:rPr>
        <w:t>verlaufen</w:t>
      </w:r>
      <w:r w:rsidR="00C8079C" w:rsidRPr="00BE4DEB">
        <w:rPr>
          <w:rFonts w:ascii="Arial" w:hAnsi="Arial" w:cs="Arial"/>
        </w:rPr>
        <w:t xml:space="preserve"> </w:t>
      </w:r>
      <w:r w:rsidR="00426A27" w:rsidRPr="00BE4DEB">
        <w:rPr>
          <w:rFonts w:ascii="Arial" w:hAnsi="Arial" w:cs="Arial"/>
        </w:rPr>
        <w:t>meist jedoch abortiv</w:t>
      </w:r>
      <w:r w:rsidR="00C8079C">
        <w:rPr>
          <w:rFonts w:ascii="Arial" w:hAnsi="Arial" w:cs="Arial"/>
        </w:rPr>
        <w:t xml:space="preserve"> </w:t>
      </w:r>
      <w:r w:rsidR="00426A27" w:rsidRPr="00BE4DEB">
        <w:rPr>
          <w:rFonts w:ascii="Arial" w:hAnsi="Arial" w:cs="Arial"/>
        </w:rPr>
        <w:t xml:space="preserve">und </w:t>
      </w:r>
      <w:r w:rsidR="00C8079C">
        <w:rPr>
          <w:rFonts w:ascii="Arial" w:hAnsi="Arial" w:cs="Arial"/>
        </w:rPr>
        <w:t xml:space="preserve">führen </w:t>
      </w:r>
      <w:r w:rsidR="00426A27" w:rsidRPr="00BE4DEB">
        <w:rPr>
          <w:rFonts w:ascii="Arial" w:hAnsi="Arial" w:cs="Arial"/>
        </w:rPr>
        <w:t xml:space="preserve">nur selten zu einer </w:t>
      </w:r>
      <w:r w:rsidR="00C8079C">
        <w:rPr>
          <w:rFonts w:ascii="Arial" w:hAnsi="Arial" w:cs="Arial"/>
        </w:rPr>
        <w:t xml:space="preserve">klinisch relevanten </w:t>
      </w:r>
      <w:r w:rsidR="00426A27" w:rsidRPr="00BE4DEB">
        <w:rPr>
          <w:rFonts w:ascii="Arial" w:hAnsi="Arial" w:cs="Arial"/>
        </w:rPr>
        <w:t>Erkrankung.</w:t>
      </w:r>
      <w:r w:rsidR="00FE3163">
        <w:rPr>
          <w:rFonts w:ascii="Arial" w:hAnsi="Arial" w:cs="Arial"/>
        </w:rPr>
        <w:t xml:space="preserve"> </w:t>
      </w:r>
      <w:r w:rsidR="00FE3163" w:rsidRPr="00A267AB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rotz milderen Verlaufs sind Rei</w:t>
      </w:r>
      <w:r w:rsidR="00FE3163" w:rsidRPr="00A267AB">
        <w:rPr>
          <w:rFonts w:ascii="Arial" w:hAnsi="Arial" w:cs="Arial"/>
          <w:b/>
        </w:rPr>
        <w:t>nfektionen epidemiologisch relevant, da durchaus Ansteckungsfähigkeit bestehen kann</w:t>
      </w:r>
      <w:r w:rsidR="00FE3163">
        <w:rPr>
          <w:rFonts w:ascii="Arial" w:hAnsi="Arial" w:cs="Arial"/>
        </w:rPr>
        <w:t>.</w:t>
      </w:r>
    </w:p>
    <w:p w:rsidR="00295933" w:rsidRDefault="00946E10" w:rsidP="00A96A8E">
      <w:pPr>
        <w:spacing w:after="0"/>
        <w:jc w:val="both"/>
      </w:pPr>
      <w:r>
        <w:rPr>
          <w:rFonts w:ascii="Arial" w:hAnsi="Arial" w:cs="Arial"/>
        </w:rPr>
        <w:t xml:space="preserve">Interessanterweise gibt es virale Erreger (Dengue), die erst bei Re-Infektion einen gefährlichen klinischen Verlauf induzieren. Die pathogenetische Grundlage ist hierbei </w:t>
      </w:r>
      <w:r w:rsidRPr="00A61E6B">
        <w:rPr>
          <w:rFonts w:ascii="Arial" w:hAnsi="Arial" w:cs="Arial"/>
        </w:rPr>
        <w:t>Antikörper-abhängige Verstärkung (</w:t>
      </w:r>
      <w:r w:rsidRPr="00A61E6B">
        <w:rPr>
          <w:rFonts w:ascii="Arial" w:hAnsi="Arial" w:cs="Arial"/>
          <w:u w:val="single"/>
        </w:rPr>
        <w:t>a</w:t>
      </w:r>
      <w:r w:rsidRPr="00A61E6B">
        <w:rPr>
          <w:rFonts w:ascii="Arial" w:hAnsi="Arial" w:cs="Arial"/>
        </w:rPr>
        <w:t xml:space="preserve">ntibody </w:t>
      </w:r>
      <w:r w:rsidRPr="00A61E6B">
        <w:rPr>
          <w:rFonts w:ascii="Arial" w:hAnsi="Arial" w:cs="Arial"/>
          <w:u w:val="single"/>
        </w:rPr>
        <w:t>d</w:t>
      </w:r>
      <w:r w:rsidRPr="00A61E6B">
        <w:rPr>
          <w:rFonts w:ascii="Arial" w:hAnsi="Arial" w:cs="Arial"/>
        </w:rPr>
        <w:t xml:space="preserve">ependent </w:t>
      </w:r>
      <w:r w:rsidRPr="00A61E6B">
        <w:rPr>
          <w:rFonts w:ascii="Arial" w:hAnsi="Arial" w:cs="Arial"/>
          <w:u w:val="single"/>
        </w:rPr>
        <w:t>e</w:t>
      </w:r>
      <w:r w:rsidRPr="00A61E6B">
        <w:rPr>
          <w:rFonts w:ascii="Arial" w:hAnsi="Arial" w:cs="Arial"/>
        </w:rPr>
        <w:t xml:space="preserve">nhancement, </w:t>
      </w:r>
      <w:r w:rsidRPr="00A267AB">
        <w:rPr>
          <w:rFonts w:ascii="Arial" w:hAnsi="Arial" w:cs="Arial"/>
        </w:rPr>
        <w:t>ADE</w:t>
      </w:r>
      <w:r w:rsidRPr="00A61E6B">
        <w:rPr>
          <w:rFonts w:ascii="Arial" w:hAnsi="Arial" w:cs="Arial"/>
        </w:rPr>
        <w:t>)</w:t>
      </w:r>
      <w:r>
        <w:rPr>
          <w:rStyle w:val="Endnotenzeichen"/>
          <w:rFonts w:ascii="Arial" w:hAnsi="Arial" w:cs="Arial"/>
        </w:rPr>
        <w:endnoteReference w:id="1"/>
      </w:r>
      <w:r w:rsidRPr="00175AAD">
        <w:rPr>
          <w:rFonts w:ascii="Arial" w:hAnsi="Arial" w:cs="Arial"/>
          <w:vertAlign w:val="superscript"/>
        </w:rPr>
        <w:t>,</w:t>
      </w:r>
      <w:r>
        <w:rPr>
          <w:rStyle w:val="Endnotenzeichen"/>
          <w:rFonts w:ascii="Arial" w:hAnsi="Arial" w:cs="Arial"/>
        </w:rPr>
        <w:endnoteReference w:id="2"/>
      </w:r>
      <w:r w:rsidR="001F3D47">
        <w:rPr>
          <w:rFonts w:ascii="Arial" w:hAnsi="Arial" w:cs="Arial"/>
        </w:rPr>
        <w:t>, eine</w:t>
      </w:r>
      <w:r w:rsidRPr="00A61E6B">
        <w:rPr>
          <w:rFonts w:ascii="Arial" w:hAnsi="Arial" w:cs="Arial"/>
        </w:rPr>
        <w:t xml:space="preserve"> </w:t>
      </w:r>
      <w:r w:rsidR="001F3D47">
        <w:rPr>
          <w:rFonts w:ascii="Arial" w:hAnsi="Arial" w:cs="Arial"/>
        </w:rPr>
        <w:t>Fc-Rezeptor</w:t>
      </w:r>
      <w:r w:rsidRPr="00A61E6B">
        <w:rPr>
          <w:rFonts w:ascii="Arial" w:hAnsi="Arial" w:cs="Arial"/>
        </w:rPr>
        <w:t xml:space="preserve">-vermittelte </w:t>
      </w:r>
      <w:r>
        <w:rPr>
          <w:rFonts w:ascii="Arial" w:hAnsi="Arial" w:cs="Arial"/>
        </w:rPr>
        <w:t>Internalisation</w:t>
      </w:r>
      <w:r w:rsidRPr="00A61E6B">
        <w:rPr>
          <w:rFonts w:ascii="Arial" w:hAnsi="Arial" w:cs="Arial"/>
        </w:rPr>
        <w:t xml:space="preserve"> von Antikörper-gebundenem Virus</w:t>
      </w:r>
      <w:r>
        <w:rPr>
          <w:rFonts w:ascii="Arial" w:hAnsi="Arial" w:cs="Arial"/>
        </w:rPr>
        <w:t>, die</w:t>
      </w:r>
      <w:r w:rsidRPr="00A61E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einer</w:t>
      </w:r>
      <w:r w:rsidRPr="00A61E6B">
        <w:rPr>
          <w:rFonts w:ascii="Arial" w:hAnsi="Arial" w:cs="Arial"/>
        </w:rPr>
        <w:t xml:space="preserve"> Entzündungsreaktion und Gewebeschädigung </w:t>
      </w:r>
      <w:r>
        <w:rPr>
          <w:rFonts w:ascii="Arial" w:hAnsi="Arial" w:cs="Arial"/>
        </w:rPr>
        <w:t>resultiert</w:t>
      </w:r>
      <w:r>
        <w:rPr>
          <w:rStyle w:val="Endnotenzeichen"/>
          <w:rFonts w:ascii="Arial" w:hAnsi="Arial" w:cs="Arial"/>
        </w:rPr>
        <w:endnoteReference w:id="3"/>
      </w:r>
      <w:r w:rsidRPr="00A61E6B">
        <w:rPr>
          <w:rFonts w:ascii="Arial" w:hAnsi="Arial" w:cs="Arial"/>
        </w:rPr>
        <w:t xml:space="preserve">. </w:t>
      </w:r>
    </w:p>
    <w:p w:rsidR="00B479D0" w:rsidRPr="00687C20" w:rsidRDefault="00B479D0" w:rsidP="007C25F9">
      <w:pPr>
        <w:pStyle w:val="NurText"/>
        <w:spacing w:before="120" w:line="276" w:lineRule="auto"/>
        <w:jc w:val="both"/>
        <w:rPr>
          <w:rFonts w:ascii="Arial" w:hAnsi="Arial" w:cs="Arial"/>
          <w:b/>
          <w:u w:val="single"/>
        </w:rPr>
      </w:pPr>
      <w:r w:rsidRPr="00687C20">
        <w:rPr>
          <w:rFonts w:ascii="Arial" w:hAnsi="Arial" w:cs="Arial"/>
          <w:b/>
          <w:u w:val="single"/>
        </w:rPr>
        <w:t>Reinfektionen mit SARS-CoV-2</w:t>
      </w:r>
    </w:p>
    <w:p w:rsidR="00D87A4B" w:rsidRDefault="00D87A4B" w:rsidP="00B81A8E">
      <w:pPr>
        <w:pStyle w:val="Nur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SARS-CoV-2 Reinfektionen sind unseres Wissens bisher noch nicht in der Fachliteratur beschrieben. Glaubhafte  Berichte</w:t>
      </w:r>
      <w:r w:rsidR="00B300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z.B. in der Tagespresse</w:t>
      </w:r>
      <w:r w:rsidR="00B300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häufen sich jedoch</w:t>
      </w:r>
      <w:r>
        <w:rPr>
          <w:rStyle w:val="Endnotenzeichen"/>
          <w:rFonts w:ascii="Arial" w:hAnsi="Arial" w:cs="Arial"/>
        </w:rPr>
        <w:endnoteReference w:id="4"/>
      </w:r>
      <w:r>
        <w:rPr>
          <w:rFonts w:ascii="Arial" w:hAnsi="Arial" w:cs="Arial"/>
        </w:rPr>
        <w:t xml:space="preserve">.  </w:t>
      </w:r>
    </w:p>
    <w:p w:rsidR="00D87A4B" w:rsidRDefault="00D8429B" w:rsidP="00B81A8E">
      <w:pPr>
        <w:pStyle w:val="Nur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Unsere </w:t>
      </w:r>
      <w:r w:rsidR="00D87A4B" w:rsidRPr="00D87A4B">
        <w:rPr>
          <w:rFonts w:ascii="Arial" w:hAnsi="Arial" w:cs="Arial"/>
        </w:rPr>
        <w:t xml:space="preserve">Vermutungen zu SARS-CoV-2 </w:t>
      </w:r>
      <w:r w:rsidR="00D87A4B">
        <w:rPr>
          <w:rFonts w:ascii="Arial" w:hAnsi="Arial" w:cs="Arial"/>
        </w:rPr>
        <w:t>Reinfektionen</w:t>
      </w:r>
      <w:r w:rsidR="00D87A4B" w:rsidRPr="00D87A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leiten</w:t>
      </w:r>
      <w:r w:rsidR="00D87A4B">
        <w:rPr>
          <w:rFonts w:ascii="Arial" w:hAnsi="Arial" w:cs="Arial"/>
        </w:rPr>
        <w:t xml:space="preserve"> </w:t>
      </w:r>
      <w:r w:rsidR="00D87A4B" w:rsidRPr="00D87A4B">
        <w:rPr>
          <w:rFonts w:ascii="Arial" w:hAnsi="Arial" w:cs="Arial"/>
        </w:rPr>
        <w:t xml:space="preserve">sich </w:t>
      </w:r>
      <w:r w:rsidR="00D87A4B">
        <w:rPr>
          <w:rFonts w:ascii="Arial" w:hAnsi="Arial" w:cs="Arial"/>
        </w:rPr>
        <w:t>ab</w:t>
      </w:r>
      <w:r w:rsidR="00D87A4B" w:rsidRPr="00D87A4B">
        <w:rPr>
          <w:rFonts w:ascii="Arial" w:hAnsi="Arial" w:cs="Arial"/>
        </w:rPr>
        <w:t xml:space="preserve"> </w:t>
      </w:r>
      <w:r w:rsidR="00D87A4B">
        <w:rPr>
          <w:rFonts w:ascii="Arial" w:hAnsi="Arial" w:cs="Arial"/>
        </w:rPr>
        <w:t>aus</w:t>
      </w:r>
      <w:r w:rsidR="00D87A4B" w:rsidRPr="00D87A4B">
        <w:rPr>
          <w:rFonts w:ascii="Arial" w:hAnsi="Arial" w:cs="Arial"/>
        </w:rPr>
        <w:t xml:space="preserve"> (1) </w:t>
      </w:r>
      <w:r w:rsidR="00F658FA" w:rsidRPr="00D87A4B">
        <w:rPr>
          <w:rFonts w:ascii="Arial" w:hAnsi="Arial" w:cs="Arial"/>
        </w:rPr>
        <w:t>Erkenntnisse</w:t>
      </w:r>
      <w:r w:rsidR="00F658FA">
        <w:rPr>
          <w:rFonts w:ascii="Arial" w:hAnsi="Arial" w:cs="Arial"/>
        </w:rPr>
        <w:t>n</w:t>
      </w:r>
      <w:r w:rsidR="00F658FA" w:rsidRPr="00D87A4B">
        <w:rPr>
          <w:rFonts w:ascii="Arial" w:hAnsi="Arial" w:cs="Arial"/>
        </w:rPr>
        <w:t xml:space="preserve">, die an Infektionen mit </w:t>
      </w:r>
      <w:r w:rsidR="00F658FA">
        <w:rPr>
          <w:rFonts w:ascii="Arial" w:hAnsi="Arial" w:cs="Arial"/>
        </w:rPr>
        <w:t>den saisonalen („Erkältungs-“) Coronaviren gewonnen wurden</w:t>
      </w:r>
      <w:r w:rsidR="00D87A4B">
        <w:rPr>
          <w:rFonts w:ascii="Arial" w:hAnsi="Arial" w:cs="Arial"/>
        </w:rPr>
        <w:t>; (2)</w:t>
      </w:r>
      <w:r w:rsidR="00D87A4B" w:rsidRPr="00D87A4B">
        <w:rPr>
          <w:rFonts w:ascii="Arial" w:hAnsi="Arial" w:cs="Arial"/>
        </w:rPr>
        <w:t xml:space="preserve"> </w:t>
      </w:r>
      <w:r w:rsidR="00D87A4B">
        <w:rPr>
          <w:rFonts w:ascii="Arial" w:hAnsi="Arial" w:cs="Arial"/>
        </w:rPr>
        <w:t>den Erfahrungen mit den nah verwandten SARS-/MERS</w:t>
      </w:r>
      <w:r>
        <w:rPr>
          <w:rFonts w:ascii="Arial" w:hAnsi="Arial" w:cs="Arial"/>
        </w:rPr>
        <w:t>-</w:t>
      </w:r>
      <w:r w:rsidR="00D87A4B">
        <w:rPr>
          <w:rFonts w:ascii="Arial" w:hAnsi="Arial" w:cs="Arial"/>
        </w:rPr>
        <w:t xml:space="preserve"> Coronaviren; (3)</w:t>
      </w:r>
      <w:r w:rsidR="00F658FA">
        <w:rPr>
          <w:rFonts w:ascii="Arial" w:hAnsi="Arial" w:cs="Arial"/>
        </w:rPr>
        <w:t xml:space="preserve"> klinisch-experimentellen Daten zur Immunität gegen SARS-CoV-2</w:t>
      </w:r>
      <w:r w:rsidR="00D95333">
        <w:rPr>
          <w:rFonts w:ascii="Arial" w:hAnsi="Arial" w:cs="Arial"/>
        </w:rPr>
        <w:t xml:space="preserve"> </w:t>
      </w:r>
      <w:r w:rsidR="00F658FA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(4)</w:t>
      </w:r>
      <w:r w:rsidR="00F658FA" w:rsidRPr="00F658FA">
        <w:rPr>
          <w:rFonts w:ascii="Arial" w:hAnsi="Arial" w:cs="Arial"/>
        </w:rPr>
        <w:t xml:space="preserve"> </w:t>
      </w:r>
      <w:r w:rsidR="00F658FA">
        <w:rPr>
          <w:rFonts w:ascii="Arial" w:hAnsi="Arial" w:cs="Arial"/>
        </w:rPr>
        <w:t xml:space="preserve">ersten tierexperimentellen </w:t>
      </w:r>
      <w:r w:rsidR="00F658FA" w:rsidRPr="00D87A4B">
        <w:rPr>
          <w:rFonts w:ascii="Arial" w:hAnsi="Arial" w:cs="Arial"/>
        </w:rPr>
        <w:t>Daten</w:t>
      </w:r>
      <w:r w:rsidR="00F658FA">
        <w:rPr>
          <w:rFonts w:ascii="Arial" w:hAnsi="Arial" w:cs="Arial"/>
        </w:rPr>
        <w:t>:</w:t>
      </w:r>
    </w:p>
    <w:p w:rsidR="009649E8" w:rsidRPr="00F658FA" w:rsidRDefault="00D87A4B" w:rsidP="00D87A4B">
      <w:pPr>
        <w:pStyle w:val="NurTex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658FA">
        <w:rPr>
          <w:rFonts w:ascii="Arial" w:hAnsi="Arial" w:cs="Arial"/>
        </w:rPr>
        <w:t xml:space="preserve">Reinfektionen mit den saisonalen Coronaviren kommen vor. Eine </w:t>
      </w:r>
      <w:r w:rsidRPr="00F658FA">
        <w:rPr>
          <w:rFonts w:ascii="Arial" w:hAnsi="Arial" w:cs="Arial"/>
          <w:i/>
        </w:rPr>
        <w:t>Challenge-/ Rechallenge</w:t>
      </w:r>
      <w:r w:rsidRPr="00F658FA">
        <w:rPr>
          <w:rFonts w:ascii="Arial" w:hAnsi="Arial" w:cs="Arial"/>
        </w:rPr>
        <w:t xml:space="preserve">-Studie mit dem endemischen humanen Coronavirus 229E </w:t>
      </w:r>
      <w:r w:rsidR="00D8429B" w:rsidRPr="00F658FA">
        <w:rPr>
          <w:rFonts w:ascii="Arial" w:hAnsi="Arial" w:cs="Arial"/>
        </w:rPr>
        <w:t xml:space="preserve">in </w:t>
      </w:r>
      <w:r w:rsidRPr="00F658FA">
        <w:rPr>
          <w:rFonts w:ascii="Arial" w:hAnsi="Arial" w:cs="Arial"/>
        </w:rPr>
        <w:t xml:space="preserve">freiwilligen Erwachsenen demonstrierte, dass einige Teilnehmer (3 / 9) ein Jahr nach der ersten Infektion vollständig vor </w:t>
      </w:r>
      <w:r w:rsidR="00D95333">
        <w:rPr>
          <w:rFonts w:ascii="Arial" w:hAnsi="Arial" w:cs="Arial"/>
        </w:rPr>
        <w:t>Reinfektion geschützt waren. Re</w:t>
      </w:r>
      <w:r w:rsidRPr="00F658FA">
        <w:rPr>
          <w:rFonts w:ascii="Arial" w:hAnsi="Arial" w:cs="Arial"/>
        </w:rPr>
        <w:t>infizierte Teilnehmer (6 / 9) wiesen einen klinisch blanden Verlauf auf. Zwar schieden sie infektiöses Virus aus, aber über einen kürzeren Zeitraum als bei Erstinfektion</w:t>
      </w:r>
      <w:r>
        <w:rPr>
          <w:rStyle w:val="Endnotenzeichen"/>
          <w:rFonts w:ascii="Arial" w:hAnsi="Arial" w:cs="Arial"/>
        </w:rPr>
        <w:endnoteReference w:id="5"/>
      </w:r>
      <w:r w:rsidRPr="00F658FA">
        <w:rPr>
          <w:rFonts w:ascii="Arial" w:hAnsi="Arial" w:cs="Arial"/>
        </w:rPr>
        <w:t>. Eine Vorabveröffentlichung beschreibt, dass Reinfektionen mit endemischen Coronaviren insbesondere unter Kindern auftreten können, zum Teil in kurzen zeitlichen Abständen (4 Wochen</w:t>
      </w:r>
      <w:r w:rsidR="009649E8" w:rsidRPr="00F658FA">
        <w:rPr>
          <w:rFonts w:ascii="Arial" w:hAnsi="Arial" w:cs="Arial"/>
        </w:rPr>
        <w:t xml:space="preserve"> bis </w:t>
      </w:r>
      <w:r w:rsidRPr="00F658FA">
        <w:rPr>
          <w:rFonts w:ascii="Arial" w:hAnsi="Arial" w:cs="Arial"/>
        </w:rPr>
        <w:t>1 Jahr) und mit deutlicher klinischer Symptomatik</w:t>
      </w:r>
      <w:r>
        <w:rPr>
          <w:rStyle w:val="Endnotenzeichen"/>
          <w:rFonts w:ascii="Arial" w:hAnsi="Arial" w:cs="Arial"/>
        </w:rPr>
        <w:endnoteReference w:id="6"/>
      </w:r>
      <w:r w:rsidRPr="00F658FA">
        <w:rPr>
          <w:rFonts w:ascii="Arial" w:hAnsi="Arial" w:cs="Arial"/>
        </w:rPr>
        <w:t xml:space="preserve">. Es wird diskutiert, </w:t>
      </w:r>
      <w:r w:rsidRPr="00F658FA">
        <w:rPr>
          <w:rFonts w:ascii="Arial" w:hAnsi="Arial" w:cs="Arial"/>
        </w:rPr>
        <w:lastRenderedPageBreak/>
        <w:t xml:space="preserve">dass die milde, mitunter asymptomatische Klinik dieser Infektionen verantwortlich ist </w:t>
      </w:r>
      <w:r w:rsidR="00D8429B" w:rsidRPr="00F658FA">
        <w:rPr>
          <w:rFonts w:ascii="Arial" w:hAnsi="Arial" w:cs="Arial"/>
        </w:rPr>
        <w:t>da</w:t>
      </w:r>
      <w:r w:rsidRPr="00F658FA">
        <w:rPr>
          <w:rFonts w:ascii="Arial" w:hAnsi="Arial" w:cs="Arial"/>
        </w:rPr>
        <w:t>für</w:t>
      </w:r>
      <w:r w:rsidR="00D8429B" w:rsidRPr="00F658FA">
        <w:rPr>
          <w:rFonts w:ascii="Arial" w:hAnsi="Arial" w:cs="Arial"/>
        </w:rPr>
        <w:t>,</w:t>
      </w:r>
      <w:r w:rsidRPr="00F658FA">
        <w:rPr>
          <w:rFonts w:ascii="Arial" w:hAnsi="Arial" w:cs="Arial"/>
        </w:rPr>
        <w:t xml:space="preserve"> </w:t>
      </w:r>
      <w:r w:rsidR="00D8429B" w:rsidRPr="00F658FA">
        <w:rPr>
          <w:rFonts w:ascii="Arial" w:hAnsi="Arial" w:cs="Arial"/>
        </w:rPr>
        <w:t xml:space="preserve">dass </w:t>
      </w:r>
      <w:r w:rsidRPr="00F658FA">
        <w:rPr>
          <w:rFonts w:ascii="Arial" w:hAnsi="Arial" w:cs="Arial"/>
        </w:rPr>
        <w:t xml:space="preserve"> </w:t>
      </w:r>
      <w:r w:rsidR="00D8429B" w:rsidRPr="00F658FA">
        <w:rPr>
          <w:rFonts w:ascii="Arial" w:hAnsi="Arial" w:cs="Arial"/>
        </w:rPr>
        <w:t>die</w:t>
      </w:r>
      <w:r w:rsidRPr="00F658FA">
        <w:rPr>
          <w:rFonts w:ascii="Arial" w:hAnsi="Arial" w:cs="Arial"/>
        </w:rPr>
        <w:t xml:space="preserve"> Immunität</w:t>
      </w:r>
      <w:r w:rsidR="00D8429B" w:rsidRPr="00F658FA">
        <w:rPr>
          <w:rFonts w:ascii="Arial" w:hAnsi="Arial" w:cs="Arial"/>
        </w:rPr>
        <w:t xml:space="preserve"> nur kurz anhält (</w:t>
      </w:r>
      <w:r w:rsidRPr="00F658FA">
        <w:rPr>
          <w:rFonts w:ascii="Arial" w:hAnsi="Arial" w:cs="Arial"/>
        </w:rPr>
        <w:t xml:space="preserve">Longitudinale Prävalenzdaten deuten </w:t>
      </w:r>
      <w:r w:rsidR="00AE7646" w:rsidRPr="00F658FA">
        <w:rPr>
          <w:rFonts w:ascii="Arial" w:hAnsi="Arial" w:cs="Arial"/>
        </w:rPr>
        <w:t>auf eine Dauer von</w:t>
      </w:r>
      <w:r w:rsidRPr="00F658FA">
        <w:rPr>
          <w:rFonts w:ascii="Arial" w:hAnsi="Arial" w:cs="Arial"/>
        </w:rPr>
        <w:t xml:space="preserve"> ein bis anderthalb</w:t>
      </w:r>
      <w:r w:rsidR="002E425C">
        <w:rPr>
          <w:rFonts w:ascii="Arial" w:hAnsi="Arial" w:cs="Arial"/>
        </w:rPr>
        <w:t xml:space="preserve"> </w:t>
      </w:r>
      <w:r w:rsidRPr="00F658FA">
        <w:rPr>
          <w:rFonts w:ascii="Arial" w:hAnsi="Arial" w:cs="Arial"/>
        </w:rPr>
        <w:t>Jahre</w:t>
      </w:r>
      <w:r w:rsidR="00AE7646" w:rsidRPr="00F658FA">
        <w:rPr>
          <w:rFonts w:ascii="Arial" w:hAnsi="Arial" w:cs="Arial"/>
        </w:rPr>
        <w:t>n hin</w:t>
      </w:r>
      <w:r w:rsidR="00D95333">
        <w:rPr>
          <w:rFonts w:ascii="Arial" w:hAnsi="Arial" w:cs="Arial"/>
        </w:rPr>
        <w:t xml:space="preserve"> in Bezug auf die Populationsimmunität</w:t>
      </w:r>
      <w:r w:rsidR="00AE7646" w:rsidRPr="00F658FA">
        <w:rPr>
          <w:rFonts w:ascii="Arial" w:hAnsi="Arial" w:cs="Arial"/>
        </w:rPr>
        <w:t>)</w:t>
      </w:r>
      <w:r w:rsidRPr="00F658FA">
        <w:rPr>
          <w:rFonts w:ascii="Arial" w:hAnsi="Arial" w:cs="Arial"/>
        </w:rPr>
        <w:t>.</w:t>
      </w:r>
      <w:r w:rsidR="009649E8" w:rsidRPr="00F658FA">
        <w:rPr>
          <w:rFonts w:ascii="Arial" w:hAnsi="Arial" w:cs="Arial"/>
        </w:rPr>
        <w:t xml:space="preserve"> </w:t>
      </w:r>
    </w:p>
    <w:p w:rsidR="00D87A4B" w:rsidRPr="00F658FA" w:rsidRDefault="00F658FA" w:rsidP="00F658FA">
      <w:pPr>
        <w:pStyle w:val="NurTex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Reinfektionen mit SARS-CoV-1 und MERS-CoV sind in der Fachliteratur nicht beschrieben, jedoch ist dies schon wegen des niedrigen Reexpositionsrisikos zu erwarten - SARS-CoV-1  hat weniger als 2 Jahre zirkuliert (Nov. 2002-Juni 2004) und die MERS Prävalenz ist mit ca. 2500 bestätigten Fällen weltweit gering</w:t>
      </w:r>
      <w:r>
        <w:rPr>
          <w:rStyle w:val="Endnotenzeichen"/>
          <w:rFonts w:ascii="Arial" w:hAnsi="Arial" w:cs="Arial"/>
        </w:rPr>
        <w:endnoteReference w:id="7"/>
      </w:r>
      <w:r>
        <w:rPr>
          <w:rFonts w:ascii="Arial" w:hAnsi="Arial" w:cs="Arial"/>
        </w:rPr>
        <w:t xml:space="preserve">. </w:t>
      </w:r>
      <w:r w:rsidRPr="00BE4DEB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 xml:space="preserve">beide Erreger </w:t>
      </w:r>
      <w:r w:rsidRPr="00BE4DEB">
        <w:rPr>
          <w:rFonts w:ascii="Arial" w:hAnsi="Arial" w:cs="Arial"/>
        </w:rPr>
        <w:t>wurde</w:t>
      </w:r>
      <w:r>
        <w:rPr>
          <w:rFonts w:ascii="Arial" w:hAnsi="Arial" w:cs="Arial"/>
        </w:rPr>
        <w:t>n</w:t>
      </w:r>
      <w:r w:rsidRPr="00BE4DEB">
        <w:rPr>
          <w:rFonts w:ascii="Arial" w:hAnsi="Arial" w:cs="Arial"/>
        </w:rPr>
        <w:t xml:space="preserve"> </w:t>
      </w:r>
      <w:r w:rsidRPr="00E64A2D">
        <w:rPr>
          <w:rFonts w:ascii="Arial" w:hAnsi="Arial" w:cs="Arial"/>
        </w:rPr>
        <w:t>Antikörper bzw. zumindest spezifische T-Gedächtniszellen</w:t>
      </w:r>
      <w:r>
        <w:rPr>
          <w:rFonts w:ascii="Arial" w:hAnsi="Arial" w:cs="Arial"/>
        </w:rPr>
        <w:t xml:space="preserve"> noch Jahre nach Erstinfektion</w:t>
      </w:r>
      <w:r w:rsidRPr="00E64A2D">
        <w:rPr>
          <w:rFonts w:ascii="Arial" w:hAnsi="Arial" w:cs="Arial"/>
        </w:rPr>
        <w:t xml:space="preserve"> nachgewiesen</w:t>
      </w:r>
      <w:r w:rsidRPr="00E64A2D">
        <w:rPr>
          <w:rStyle w:val="Endnotenzeichen"/>
          <w:rFonts w:ascii="Arial" w:hAnsi="Arial" w:cs="Arial"/>
        </w:rPr>
        <w:endnoteReference w:id="8"/>
      </w:r>
      <w:r w:rsidRPr="00E64A2D">
        <w:rPr>
          <w:rFonts w:ascii="Arial" w:hAnsi="Arial" w:cs="Arial"/>
          <w:vertAlign w:val="superscript"/>
        </w:rPr>
        <w:t>,</w:t>
      </w:r>
      <w:r w:rsidRPr="00E64A2D">
        <w:rPr>
          <w:rStyle w:val="Endnotenzeichen"/>
          <w:rFonts w:ascii="Arial" w:hAnsi="Arial" w:cs="Arial"/>
        </w:rPr>
        <w:endnoteReference w:id="9"/>
      </w:r>
      <w:r w:rsidRPr="00E64A2D">
        <w:rPr>
          <w:rFonts w:ascii="Arial" w:hAnsi="Arial" w:cs="Arial"/>
          <w:vertAlign w:val="superscript"/>
        </w:rPr>
        <w:t>,</w:t>
      </w:r>
      <w:r w:rsidRPr="00E64A2D">
        <w:rPr>
          <w:rStyle w:val="Endnotenzeichen"/>
          <w:rFonts w:ascii="Arial" w:hAnsi="Arial" w:cs="Arial"/>
        </w:rPr>
        <w:endnoteReference w:id="10"/>
      </w:r>
      <w:r w:rsidRPr="00E64A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was für langanhaltende Immunität spricht. Unklar ist jedoch, ob es sich dabei um sogenannte sterilisierende Immunität </w:t>
      </w:r>
      <w:r w:rsidRPr="00D43BD5">
        <w:rPr>
          <w:rFonts w:ascii="Arial" w:hAnsi="Arial" w:cs="Arial"/>
        </w:rPr>
        <w:t>(</w:t>
      </w:r>
      <w:r w:rsidRPr="00D43BD5">
        <w:rPr>
          <w:rFonts w:ascii="Arial" w:hAnsi="Arial" w:cs="Arial"/>
          <w:i/>
        </w:rPr>
        <w:t>„sterilizing immunity“</w:t>
      </w:r>
      <w:r w:rsidRPr="00D43BD5">
        <w:rPr>
          <w:rFonts w:ascii="Arial" w:hAnsi="Arial" w:cs="Arial"/>
        </w:rPr>
        <w:t>)</w:t>
      </w:r>
      <w:r w:rsidR="00D95333">
        <w:rPr>
          <w:rFonts w:ascii="Arial" w:hAnsi="Arial" w:cs="Arial"/>
        </w:rPr>
        <w:t xml:space="preserve"> handelt, die Rei</w:t>
      </w:r>
      <w:r>
        <w:rPr>
          <w:rFonts w:ascii="Arial" w:hAnsi="Arial" w:cs="Arial"/>
        </w:rPr>
        <w:t>nfektionen tatsächlich verhindert, o</w:t>
      </w:r>
      <w:r w:rsidR="00D95333">
        <w:rPr>
          <w:rFonts w:ascii="Arial" w:hAnsi="Arial" w:cs="Arial"/>
        </w:rPr>
        <w:t>der ob Rei</w:t>
      </w:r>
      <w:r>
        <w:rPr>
          <w:rFonts w:ascii="Arial" w:hAnsi="Arial" w:cs="Arial"/>
        </w:rPr>
        <w:t>nfektionen prinzipiell möglich sind, jedoch mit klinisch mildem Verlauf einhergehen.</w:t>
      </w:r>
    </w:p>
    <w:p w:rsidR="007200CB" w:rsidRPr="00F50A10" w:rsidRDefault="00F02CE5" w:rsidP="007200CB">
      <w:pPr>
        <w:pStyle w:val="NurTex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44F2">
        <w:rPr>
          <w:rFonts w:ascii="Arial" w:hAnsi="Arial" w:cs="Arial"/>
        </w:rPr>
        <w:t xml:space="preserve">SARS-CoV-2-Infektion </w:t>
      </w:r>
      <w:r w:rsidR="00AE7646" w:rsidRPr="000144F2">
        <w:rPr>
          <w:rFonts w:ascii="Arial" w:hAnsi="Arial" w:cs="Arial"/>
        </w:rPr>
        <w:t xml:space="preserve">induziert </w:t>
      </w:r>
      <w:r w:rsidRPr="000144F2">
        <w:rPr>
          <w:rFonts w:ascii="Arial" w:hAnsi="Arial" w:cs="Arial"/>
        </w:rPr>
        <w:t xml:space="preserve">in den meisten Menschen </w:t>
      </w:r>
      <w:r w:rsidR="00AE7646" w:rsidRPr="000144F2">
        <w:rPr>
          <w:rFonts w:ascii="Arial" w:hAnsi="Arial" w:cs="Arial"/>
        </w:rPr>
        <w:t xml:space="preserve">neutralisierende </w:t>
      </w:r>
      <w:r w:rsidR="00AE7646" w:rsidRPr="00F50A10">
        <w:rPr>
          <w:rFonts w:ascii="Arial" w:hAnsi="Arial" w:cs="Arial"/>
        </w:rPr>
        <w:t>An</w:t>
      </w:r>
      <w:r w:rsidR="00D95333">
        <w:rPr>
          <w:rFonts w:ascii="Arial" w:hAnsi="Arial" w:cs="Arial"/>
        </w:rPr>
        <w:t>tikörper, deren Serumspiegel um</w:t>
      </w:r>
      <w:r w:rsidR="00AE7646" w:rsidRPr="00F50A10">
        <w:rPr>
          <w:rFonts w:ascii="Arial" w:hAnsi="Arial" w:cs="Arial"/>
        </w:rPr>
        <w:t xml:space="preserve">so höher sind, je schwerer </w:t>
      </w:r>
      <w:r w:rsidR="00205E6D" w:rsidRPr="00F50A10">
        <w:rPr>
          <w:rFonts w:ascii="Arial" w:hAnsi="Arial" w:cs="Arial"/>
        </w:rPr>
        <w:t>die</w:t>
      </w:r>
      <w:r w:rsidR="00AE7646" w:rsidRPr="00F50A10">
        <w:rPr>
          <w:rFonts w:ascii="Arial" w:hAnsi="Arial" w:cs="Arial"/>
        </w:rPr>
        <w:t xml:space="preserve"> Erkrankung</w:t>
      </w:r>
      <w:r w:rsidR="00D95333">
        <w:rPr>
          <w:rFonts w:ascii="Arial" w:hAnsi="Arial" w:cs="Arial"/>
        </w:rPr>
        <w:t xml:space="preserve"> verläuft</w:t>
      </w:r>
      <w:r w:rsidR="00205E6D" w:rsidRPr="00F50A10">
        <w:rPr>
          <w:rStyle w:val="Endnotenzeichen"/>
          <w:rFonts w:ascii="Arial" w:hAnsi="Arial" w:cs="Arial"/>
        </w:rPr>
        <w:endnoteReference w:id="11"/>
      </w:r>
      <w:r w:rsidR="00205E6D" w:rsidRPr="00F50A10">
        <w:rPr>
          <w:rFonts w:ascii="Arial" w:hAnsi="Arial" w:cs="Arial"/>
          <w:vertAlign w:val="superscript"/>
        </w:rPr>
        <w:t>,</w:t>
      </w:r>
      <w:r w:rsidR="00205E6D" w:rsidRPr="00F50A10">
        <w:rPr>
          <w:rStyle w:val="Endnotenzeichen"/>
          <w:rFonts w:ascii="Arial" w:hAnsi="Arial" w:cs="Arial"/>
        </w:rPr>
        <w:endnoteReference w:id="12"/>
      </w:r>
      <w:r w:rsidR="00AE7646" w:rsidRPr="00F50A10">
        <w:rPr>
          <w:rFonts w:ascii="Arial" w:hAnsi="Arial" w:cs="Arial"/>
        </w:rPr>
        <w:t xml:space="preserve">. </w:t>
      </w:r>
      <w:r w:rsidR="001C3695" w:rsidRPr="00F50A10">
        <w:rPr>
          <w:rFonts w:ascii="Arial" w:hAnsi="Arial" w:cs="Arial"/>
        </w:rPr>
        <w:t>Nach</w:t>
      </w:r>
      <w:r w:rsidR="00205E6D" w:rsidRPr="00F50A10">
        <w:rPr>
          <w:rFonts w:ascii="Arial" w:hAnsi="Arial" w:cs="Arial"/>
        </w:rPr>
        <w:t xml:space="preserve"> mildem klinischem Verlauf können</w:t>
      </w:r>
      <w:r w:rsidR="007200CB" w:rsidRPr="00F50A10">
        <w:rPr>
          <w:rFonts w:ascii="Arial" w:hAnsi="Arial" w:cs="Arial"/>
        </w:rPr>
        <w:t xml:space="preserve">, ähnlich wie für saisonale Coronaviren beschrieben, </w:t>
      </w:r>
      <w:r w:rsidR="00205E6D" w:rsidRPr="00F50A10">
        <w:rPr>
          <w:rFonts w:ascii="Arial" w:hAnsi="Arial" w:cs="Arial"/>
        </w:rPr>
        <w:t xml:space="preserve">die neutralisierenden </w:t>
      </w:r>
      <w:r w:rsidR="00E20254" w:rsidRPr="00F50A10">
        <w:rPr>
          <w:rFonts w:ascii="Arial" w:hAnsi="Arial" w:cs="Arial"/>
        </w:rPr>
        <w:t>T</w:t>
      </w:r>
      <w:r w:rsidR="00205E6D" w:rsidRPr="00F50A10">
        <w:rPr>
          <w:rFonts w:ascii="Arial" w:hAnsi="Arial" w:cs="Arial"/>
        </w:rPr>
        <w:t xml:space="preserve">iter </w:t>
      </w:r>
      <w:r w:rsidR="00D95333">
        <w:rPr>
          <w:rFonts w:ascii="Arial" w:hAnsi="Arial" w:cs="Arial"/>
        </w:rPr>
        <w:t xml:space="preserve">bereits nach sechs </w:t>
      </w:r>
      <w:r w:rsidR="001C3695" w:rsidRPr="00F50A10">
        <w:rPr>
          <w:rFonts w:ascii="Arial" w:hAnsi="Arial" w:cs="Arial"/>
        </w:rPr>
        <w:t>Wochen wieder unter der Nachweisgrenze liegen</w:t>
      </w:r>
      <w:r w:rsidR="00F50A10" w:rsidRPr="00F50A10">
        <w:rPr>
          <w:rFonts w:ascii="Arial" w:hAnsi="Arial" w:cs="Arial"/>
          <w:vertAlign w:val="superscript"/>
        </w:rPr>
        <w:t>xi</w:t>
      </w:r>
      <w:r w:rsidR="00931BCC" w:rsidRPr="00F50A10">
        <w:rPr>
          <w:rFonts w:ascii="Arial" w:hAnsi="Arial" w:cs="Arial"/>
        </w:rPr>
        <w:t>,</w:t>
      </w:r>
      <w:r w:rsidR="001C3695" w:rsidRPr="00F50A10">
        <w:rPr>
          <w:rFonts w:ascii="Arial" w:hAnsi="Arial" w:cs="Arial"/>
        </w:rPr>
        <w:t xml:space="preserve"> </w:t>
      </w:r>
      <w:r w:rsidR="00931BCC" w:rsidRPr="00F50A10">
        <w:rPr>
          <w:rFonts w:ascii="Arial" w:hAnsi="Arial" w:cs="Arial"/>
        </w:rPr>
        <w:t>obwohl dann noch s</w:t>
      </w:r>
      <w:r w:rsidR="00E20254" w:rsidRPr="00F50A10">
        <w:rPr>
          <w:rFonts w:ascii="Arial" w:hAnsi="Arial" w:cs="Arial"/>
        </w:rPr>
        <w:t xml:space="preserve">pezifische </w:t>
      </w:r>
      <w:r w:rsidR="001C3695" w:rsidRPr="00F50A10">
        <w:rPr>
          <w:rFonts w:ascii="Arial" w:hAnsi="Arial" w:cs="Arial"/>
        </w:rPr>
        <w:t xml:space="preserve">B-Gedächtniszellen </w:t>
      </w:r>
      <w:r w:rsidR="00931BCC" w:rsidRPr="00F50A10">
        <w:rPr>
          <w:rFonts w:ascii="Arial" w:hAnsi="Arial" w:cs="Arial"/>
        </w:rPr>
        <w:t xml:space="preserve">nachweisbar </w:t>
      </w:r>
      <w:r w:rsidR="000144F2" w:rsidRPr="00F50A10">
        <w:rPr>
          <w:rFonts w:ascii="Arial" w:hAnsi="Arial" w:cs="Arial"/>
        </w:rPr>
        <w:t>sein können</w:t>
      </w:r>
      <w:r w:rsidR="00E20254" w:rsidRPr="00F50A10">
        <w:rPr>
          <w:rStyle w:val="Endnotenzeichen"/>
          <w:rFonts w:ascii="Arial" w:hAnsi="Arial" w:cs="Arial"/>
        </w:rPr>
        <w:endnoteReference w:id="13"/>
      </w:r>
      <w:r w:rsidR="00931BCC" w:rsidRPr="00F50A10">
        <w:rPr>
          <w:rFonts w:ascii="Arial" w:hAnsi="Arial" w:cs="Arial"/>
        </w:rPr>
        <w:t xml:space="preserve">. </w:t>
      </w:r>
      <w:r w:rsidR="00675B10" w:rsidRPr="00F50A10">
        <w:rPr>
          <w:rFonts w:ascii="Arial" w:hAnsi="Arial" w:cs="Arial"/>
        </w:rPr>
        <w:t xml:space="preserve">Es lässt sich daher spekulieren, dass </w:t>
      </w:r>
      <w:r w:rsidR="00B3007E">
        <w:rPr>
          <w:rFonts w:ascii="Arial" w:hAnsi="Arial" w:cs="Arial"/>
        </w:rPr>
        <w:t xml:space="preserve">eine </w:t>
      </w:r>
      <w:r w:rsidR="00675B10" w:rsidRPr="00F50A10">
        <w:rPr>
          <w:rFonts w:ascii="Arial" w:hAnsi="Arial" w:cs="Arial"/>
        </w:rPr>
        <w:t>natürliche Infektion in</w:t>
      </w:r>
      <w:r w:rsidR="000144F2" w:rsidRPr="00F50A10">
        <w:rPr>
          <w:rFonts w:ascii="Arial" w:hAnsi="Arial" w:cs="Arial"/>
        </w:rPr>
        <w:t xml:space="preserve"> einer Art</w:t>
      </w:r>
      <w:r w:rsidR="00675B10" w:rsidRPr="00F50A10">
        <w:rPr>
          <w:rFonts w:ascii="Arial" w:hAnsi="Arial" w:cs="Arial"/>
        </w:rPr>
        <w:t xml:space="preserve"> Immunität resultiert</w:t>
      </w:r>
      <w:r w:rsidR="000144F2" w:rsidRPr="00F50A10">
        <w:rPr>
          <w:rFonts w:ascii="Arial" w:hAnsi="Arial" w:cs="Arial"/>
        </w:rPr>
        <w:t>, bei der es sich aber nicht zwingend und nicht langfristig</w:t>
      </w:r>
      <w:r w:rsidR="00675B10" w:rsidRPr="00F50A10">
        <w:rPr>
          <w:rFonts w:ascii="Arial" w:hAnsi="Arial" w:cs="Arial"/>
        </w:rPr>
        <w:t xml:space="preserve"> </w:t>
      </w:r>
      <w:r w:rsidR="000144F2" w:rsidRPr="00F50A10">
        <w:rPr>
          <w:rFonts w:ascii="Arial" w:hAnsi="Arial" w:cs="Arial"/>
        </w:rPr>
        <w:t xml:space="preserve">um eine </w:t>
      </w:r>
      <w:r w:rsidR="000144F2" w:rsidRPr="00F50A10">
        <w:rPr>
          <w:rFonts w:ascii="Arial" w:hAnsi="Arial" w:cs="Arial"/>
          <w:i/>
        </w:rPr>
        <w:t xml:space="preserve">sterilizing immunity </w:t>
      </w:r>
      <w:r w:rsidR="000144F2" w:rsidRPr="00F50A10">
        <w:rPr>
          <w:rFonts w:ascii="Arial" w:hAnsi="Arial" w:cs="Arial"/>
        </w:rPr>
        <w:t>handelt (</w:t>
      </w:r>
      <w:r w:rsidR="008E1637" w:rsidRPr="00F50A10">
        <w:rPr>
          <w:rFonts w:ascii="Arial" w:hAnsi="Arial" w:cs="Arial"/>
        </w:rPr>
        <w:t xml:space="preserve">dafür würde man anhaltend </w:t>
      </w:r>
      <w:r w:rsidR="000144F2" w:rsidRPr="00F50A10">
        <w:rPr>
          <w:rFonts w:ascii="Arial" w:hAnsi="Arial" w:cs="Arial"/>
        </w:rPr>
        <w:t xml:space="preserve">neutralisierende Antikörpertiter </w:t>
      </w:r>
      <w:r w:rsidR="008E1637" w:rsidRPr="00F50A10">
        <w:rPr>
          <w:rFonts w:ascii="Arial" w:hAnsi="Arial" w:cs="Arial"/>
        </w:rPr>
        <w:t>erwarten</w:t>
      </w:r>
      <w:r w:rsidR="000144F2" w:rsidRPr="00F50A10">
        <w:rPr>
          <w:rFonts w:ascii="Arial" w:hAnsi="Arial" w:cs="Arial"/>
        </w:rPr>
        <w:t xml:space="preserve">). </w:t>
      </w:r>
    </w:p>
    <w:p w:rsidR="009649E8" w:rsidRDefault="009649E8" w:rsidP="009649E8">
      <w:pPr>
        <w:pStyle w:val="NurTex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50A10">
        <w:rPr>
          <w:rFonts w:ascii="Arial" w:hAnsi="Arial" w:cs="Arial"/>
        </w:rPr>
        <w:t>Im Rhesusaffen-Tiermodell war bis 35 Tage p.i. keine produktive Reinfektion möglich, im Sinne</w:t>
      </w:r>
      <w:r w:rsidRPr="00FC39E8">
        <w:rPr>
          <w:rFonts w:ascii="Arial" w:hAnsi="Arial" w:cs="Arial"/>
        </w:rPr>
        <w:t xml:space="preserve"> einer (</w:t>
      </w:r>
      <w:r>
        <w:rPr>
          <w:rFonts w:ascii="Arial" w:hAnsi="Arial" w:cs="Arial"/>
        </w:rPr>
        <w:t>möglicherweise</w:t>
      </w:r>
      <w:r w:rsidRPr="00FC39E8">
        <w:rPr>
          <w:rFonts w:ascii="Arial" w:hAnsi="Arial" w:cs="Arial"/>
        </w:rPr>
        <w:t xml:space="preserve"> kurzfristigen) protektiven Immunität nach mild-moderat verlaufener SARS-CoV-2 Infektion</w:t>
      </w:r>
      <w:r w:rsidRPr="00B81A8E">
        <w:rPr>
          <w:rStyle w:val="Endnotenzeichen"/>
          <w:rFonts w:ascii="Arial" w:hAnsi="Arial" w:cs="Arial"/>
        </w:rPr>
        <w:endnoteReference w:id="14"/>
      </w:r>
      <w:r w:rsidRPr="00B81A8E">
        <w:rPr>
          <w:rFonts w:ascii="Arial" w:hAnsi="Arial" w:cs="Arial"/>
          <w:vertAlign w:val="superscript"/>
        </w:rPr>
        <w:t>,</w:t>
      </w:r>
      <w:r w:rsidRPr="00B81A8E">
        <w:rPr>
          <w:rStyle w:val="Endnotenzeichen"/>
          <w:rFonts w:ascii="Arial" w:hAnsi="Arial" w:cs="Arial"/>
        </w:rPr>
        <w:endnoteReference w:id="15"/>
      </w:r>
      <w:r w:rsidRPr="00B81A8E">
        <w:rPr>
          <w:rFonts w:ascii="Arial" w:hAnsi="Arial" w:cs="Arial"/>
        </w:rPr>
        <w:t>. Limitiert sind</w:t>
      </w:r>
      <w:r>
        <w:rPr>
          <w:rFonts w:ascii="Arial" w:hAnsi="Arial" w:cs="Arial"/>
        </w:rPr>
        <w:t xml:space="preserve"> diese Daten durch den kurzen Zeitabstand zwischen </w:t>
      </w:r>
      <w:r w:rsidRPr="00FC39E8">
        <w:rPr>
          <w:rFonts w:ascii="Arial" w:hAnsi="Arial" w:cs="Arial"/>
          <w:i/>
        </w:rPr>
        <w:t>Challenge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i/>
        </w:rPr>
        <w:t xml:space="preserve"> Rechallenge</w:t>
      </w:r>
      <w:r>
        <w:rPr>
          <w:rFonts w:ascii="Arial" w:hAnsi="Arial" w:cs="Arial"/>
        </w:rPr>
        <w:t xml:space="preserve">. </w:t>
      </w:r>
    </w:p>
    <w:p w:rsidR="008E1637" w:rsidRPr="000144F2" w:rsidRDefault="008E1637" w:rsidP="008E1637">
      <w:pPr>
        <w:pStyle w:val="NurText"/>
        <w:spacing w:line="276" w:lineRule="auto"/>
        <w:jc w:val="both"/>
        <w:rPr>
          <w:rFonts w:ascii="Arial" w:hAnsi="Arial" w:cs="Arial"/>
        </w:rPr>
      </w:pPr>
    </w:p>
    <w:p w:rsidR="00885DF1" w:rsidRDefault="00F02CE5" w:rsidP="00DC7E4F">
      <w:pPr>
        <w:pStyle w:val="NurText"/>
        <w:spacing w:line="276" w:lineRule="auto"/>
        <w:jc w:val="both"/>
        <w:rPr>
          <w:rFonts w:ascii="Arial" w:hAnsi="Arial" w:cs="Arial"/>
        </w:rPr>
      </w:pPr>
      <w:r w:rsidRPr="002F3008">
        <w:rPr>
          <w:rFonts w:ascii="Arial" w:hAnsi="Arial" w:cs="Arial"/>
        </w:rPr>
        <w:t>Vor diesem Hintergrund vermuten wir, dass</w:t>
      </w:r>
      <w:r w:rsidR="00675B10" w:rsidRPr="002F3008">
        <w:rPr>
          <w:rFonts w:ascii="Arial" w:hAnsi="Arial" w:cs="Arial"/>
        </w:rPr>
        <w:t>,</w:t>
      </w:r>
      <w:r w:rsidRPr="002F3008">
        <w:rPr>
          <w:rFonts w:ascii="Arial" w:hAnsi="Arial" w:cs="Arial"/>
        </w:rPr>
        <w:t xml:space="preserve"> </w:t>
      </w:r>
      <w:r w:rsidR="00675B10" w:rsidRPr="002F3008">
        <w:rPr>
          <w:rFonts w:ascii="Arial" w:hAnsi="Arial" w:cs="Arial"/>
        </w:rPr>
        <w:t xml:space="preserve">analog zu den saisonalen Coronaviren, </w:t>
      </w:r>
      <w:r w:rsidR="00D95333">
        <w:rPr>
          <w:rFonts w:ascii="Arial" w:hAnsi="Arial" w:cs="Arial"/>
        </w:rPr>
        <w:t>Rei</w:t>
      </w:r>
      <w:r w:rsidRPr="002F3008">
        <w:rPr>
          <w:rFonts w:ascii="Arial" w:hAnsi="Arial" w:cs="Arial"/>
        </w:rPr>
        <w:t xml:space="preserve">nfektionen mit SARS-CoV-2 </w:t>
      </w:r>
      <w:r w:rsidR="007200CB" w:rsidRPr="002F3008">
        <w:rPr>
          <w:rFonts w:ascii="Arial" w:hAnsi="Arial" w:cs="Arial"/>
        </w:rPr>
        <w:t xml:space="preserve">durchaus </w:t>
      </w:r>
      <w:r w:rsidR="00675B10" w:rsidRPr="002F3008">
        <w:rPr>
          <w:rFonts w:ascii="Arial" w:hAnsi="Arial" w:cs="Arial"/>
        </w:rPr>
        <w:t>vorkommen</w:t>
      </w:r>
      <w:r w:rsidR="007200CB" w:rsidRPr="002F3008">
        <w:rPr>
          <w:rFonts w:ascii="Arial" w:hAnsi="Arial" w:cs="Arial"/>
        </w:rPr>
        <w:t xml:space="preserve">, insbesondere wenn die erste Infektion </w:t>
      </w:r>
      <w:r w:rsidR="00D85725" w:rsidRPr="002F3008">
        <w:rPr>
          <w:rFonts w:ascii="Arial" w:hAnsi="Arial" w:cs="Arial"/>
        </w:rPr>
        <w:t>klinisch mild war</w:t>
      </w:r>
      <w:r w:rsidR="00A267AB" w:rsidRPr="002F3008">
        <w:rPr>
          <w:rFonts w:ascii="Arial" w:hAnsi="Arial" w:cs="Arial"/>
        </w:rPr>
        <w:t xml:space="preserve"> und in niedrigen protektiven Titern</w:t>
      </w:r>
      <w:r w:rsidR="007200CB" w:rsidRPr="002F3008">
        <w:rPr>
          <w:rFonts w:ascii="Arial" w:hAnsi="Arial" w:cs="Arial"/>
        </w:rPr>
        <w:t xml:space="preserve">. </w:t>
      </w:r>
      <w:r w:rsidR="00885DF1" w:rsidRPr="002F3008">
        <w:rPr>
          <w:rFonts w:ascii="Arial" w:hAnsi="Arial" w:cs="Arial"/>
        </w:rPr>
        <w:t xml:space="preserve">Je weniger Zeit seit Erstinfektion verstrichen ist, </w:t>
      </w:r>
      <w:r w:rsidR="009649E8" w:rsidRPr="002F3008">
        <w:rPr>
          <w:rFonts w:ascii="Arial" w:hAnsi="Arial" w:cs="Arial"/>
        </w:rPr>
        <w:t xml:space="preserve">und je schwerer diese war, </w:t>
      </w:r>
      <w:r w:rsidR="00885DF1" w:rsidRPr="002F3008">
        <w:rPr>
          <w:rFonts w:ascii="Arial" w:hAnsi="Arial" w:cs="Arial"/>
        </w:rPr>
        <w:t xml:space="preserve">desto leichter könnte der klinische </w:t>
      </w:r>
      <w:r w:rsidR="00DF4A00" w:rsidRPr="002F3008">
        <w:rPr>
          <w:rFonts w:ascii="Arial" w:hAnsi="Arial" w:cs="Arial"/>
        </w:rPr>
        <w:t>Verlauf der Reinfektion sein</w:t>
      </w:r>
      <w:r w:rsidR="009649E8" w:rsidRPr="002F3008">
        <w:rPr>
          <w:rFonts w:ascii="Arial" w:hAnsi="Arial" w:cs="Arial"/>
        </w:rPr>
        <w:t>.</w:t>
      </w:r>
      <w:r w:rsidR="00885DF1">
        <w:rPr>
          <w:rFonts w:ascii="Arial" w:hAnsi="Arial" w:cs="Arial"/>
        </w:rPr>
        <w:t xml:space="preserve"> Allerdings besteht die theoretische Befürchtung, dass SARS-CoV-2 Reinfektionen aufgrund von ADE in schwereren klinischen Verläufen resultieren könnten</w:t>
      </w:r>
      <w:r w:rsidR="00885DF1" w:rsidRPr="00A61E6B">
        <w:rPr>
          <w:rFonts w:ascii="Arial" w:hAnsi="Arial" w:cs="Arial"/>
        </w:rPr>
        <w:t>.</w:t>
      </w:r>
      <w:r w:rsidR="00885DF1">
        <w:rPr>
          <w:rFonts w:ascii="Arial" w:hAnsi="Arial" w:cs="Arial"/>
        </w:rPr>
        <w:t xml:space="preserve"> Diese Befürchtung beruht z.B. darauf, dass im SARS</w:t>
      </w:r>
      <w:r w:rsidR="00885DF1" w:rsidRPr="00A96A8E">
        <w:rPr>
          <w:rFonts w:ascii="Arial" w:hAnsi="Arial" w:cs="Arial"/>
        </w:rPr>
        <w:t>-CoV-1</w:t>
      </w:r>
      <w:r w:rsidR="00885DF1" w:rsidRPr="00A61E6B">
        <w:rPr>
          <w:rFonts w:ascii="Arial" w:hAnsi="Arial" w:cs="Arial"/>
        </w:rPr>
        <w:t xml:space="preserve"> Tiermodell </w:t>
      </w:r>
      <w:r w:rsidR="00885DF1">
        <w:rPr>
          <w:rFonts w:ascii="Arial" w:hAnsi="Arial" w:cs="Arial"/>
        </w:rPr>
        <w:t xml:space="preserve">schwere </w:t>
      </w:r>
      <w:r w:rsidR="00885DF1" w:rsidRPr="00A61E6B">
        <w:rPr>
          <w:rFonts w:ascii="Arial" w:hAnsi="Arial" w:cs="Arial"/>
        </w:rPr>
        <w:t>ADE</w:t>
      </w:r>
      <w:r w:rsidR="00885DF1">
        <w:rPr>
          <w:rFonts w:ascii="Arial" w:hAnsi="Arial" w:cs="Arial"/>
        </w:rPr>
        <w:t xml:space="preserve">-bedingte </w:t>
      </w:r>
      <w:r w:rsidR="00885DF1" w:rsidRPr="00A61E6B">
        <w:rPr>
          <w:rFonts w:ascii="Arial" w:hAnsi="Arial" w:cs="Arial"/>
        </w:rPr>
        <w:t>Lungenschädigung</w:t>
      </w:r>
      <w:r w:rsidR="00885DF1">
        <w:rPr>
          <w:rFonts w:ascii="Arial" w:hAnsi="Arial" w:cs="Arial"/>
        </w:rPr>
        <w:t>en beobachtet</w:t>
      </w:r>
      <w:r w:rsidR="00885DF1" w:rsidRPr="00A96A8E">
        <w:rPr>
          <w:rFonts w:ascii="Arial" w:hAnsi="Arial" w:cs="Arial"/>
        </w:rPr>
        <w:t xml:space="preserve"> </w:t>
      </w:r>
      <w:r w:rsidR="00885DF1">
        <w:rPr>
          <w:rFonts w:ascii="Arial" w:hAnsi="Arial" w:cs="Arial"/>
        </w:rPr>
        <w:t>werden konnten</w:t>
      </w:r>
      <w:r w:rsidR="00885DF1">
        <w:rPr>
          <w:rStyle w:val="Endnotenzeichen"/>
          <w:rFonts w:ascii="Arial" w:hAnsi="Arial" w:cs="Arial"/>
        </w:rPr>
        <w:endnoteReference w:id="16"/>
      </w:r>
      <w:r w:rsidR="00885DF1">
        <w:rPr>
          <w:rFonts w:ascii="Arial" w:hAnsi="Arial" w:cs="Arial"/>
        </w:rPr>
        <w:t>. Es ist sehr schwer, dieses</w:t>
      </w:r>
      <w:r w:rsidR="00885DF1" w:rsidRPr="00BE4DEB">
        <w:rPr>
          <w:rFonts w:ascii="Arial" w:hAnsi="Arial" w:cs="Arial"/>
        </w:rPr>
        <w:t xml:space="preserve"> </w:t>
      </w:r>
      <w:r w:rsidR="00885DF1">
        <w:rPr>
          <w:rFonts w:ascii="Arial" w:hAnsi="Arial" w:cs="Arial"/>
        </w:rPr>
        <w:t>Phänomen</w:t>
      </w:r>
      <w:r w:rsidR="00885DF1" w:rsidRPr="00BE4DEB">
        <w:rPr>
          <w:rFonts w:ascii="Arial" w:hAnsi="Arial" w:cs="Arial"/>
        </w:rPr>
        <w:t xml:space="preserve"> </w:t>
      </w:r>
      <w:r w:rsidR="00885DF1">
        <w:rPr>
          <w:rFonts w:ascii="Arial" w:hAnsi="Arial" w:cs="Arial"/>
        </w:rPr>
        <w:t>laborchemisch zu untersuchen, da es offensichtlich</w:t>
      </w:r>
      <w:r w:rsidR="00885DF1" w:rsidRPr="00BE4DEB">
        <w:rPr>
          <w:rFonts w:ascii="Arial" w:hAnsi="Arial" w:cs="Arial"/>
        </w:rPr>
        <w:t xml:space="preserve"> nur</w:t>
      </w:r>
      <w:r w:rsidR="00B3007E">
        <w:rPr>
          <w:rFonts w:ascii="Arial" w:hAnsi="Arial" w:cs="Arial"/>
        </w:rPr>
        <w:t xml:space="preserve"> </w:t>
      </w:r>
      <w:r w:rsidR="00885DF1">
        <w:rPr>
          <w:rFonts w:ascii="Arial" w:hAnsi="Arial" w:cs="Arial"/>
        </w:rPr>
        <w:t>auf</w:t>
      </w:r>
      <w:r w:rsidR="00885DF1" w:rsidRPr="00BE4DEB">
        <w:rPr>
          <w:rFonts w:ascii="Arial" w:hAnsi="Arial" w:cs="Arial"/>
        </w:rPr>
        <w:t xml:space="preserve">tritt, wenn </w:t>
      </w:r>
      <w:r w:rsidR="00885DF1">
        <w:rPr>
          <w:rFonts w:ascii="Arial" w:hAnsi="Arial" w:cs="Arial"/>
        </w:rPr>
        <w:t>bestimmte</w:t>
      </w:r>
      <w:r w:rsidR="00885DF1" w:rsidRPr="00BE4DEB">
        <w:rPr>
          <w:rFonts w:ascii="Arial" w:hAnsi="Arial" w:cs="Arial"/>
        </w:rPr>
        <w:t xml:space="preserve"> Antikörper </w:t>
      </w:r>
      <w:r w:rsidR="00885DF1">
        <w:rPr>
          <w:rFonts w:ascii="Arial" w:hAnsi="Arial" w:cs="Arial"/>
        </w:rPr>
        <w:t xml:space="preserve">ein </w:t>
      </w:r>
      <w:r w:rsidR="00D95333">
        <w:rPr>
          <w:rFonts w:ascii="Arial" w:hAnsi="Arial" w:cs="Arial"/>
        </w:rPr>
        <w:t>mittleres</w:t>
      </w:r>
      <w:r w:rsidR="00885DF1">
        <w:rPr>
          <w:rFonts w:ascii="Arial" w:hAnsi="Arial" w:cs="Arial"/>
        </w:rPr>
        <w:t xml:space="preserve"> Serumlevel aufweisen</w:t>
      </w:r>
      <w:r w:rsidR="00885DF1" w:rsidRPr="00D95333">
        <w:rPr>
          <w:rStyle w:val="Endnotenzeichen"/>
          <w:rFonts w:ascii="Arial" w:hAnsi="Arial" w:cs="Arial"/>
        </w:rPr>
        <w:endnoteReference w:id="17"/>
      </w:r>
      <w:r w:rsidR="00D95333" w:rsidRPr="00D95333">
        <w:rPr>
          <w:rFonts w:ascii="Arial" w:hAnsi="Arial" w:cs="Arial"/>
          <w:vertAlign w:val="superscript"/>
        </w:rPr>
        <w:t>, xx</w:t>
      </w:r>
      <w:r w:rsidR="00D95333">
        <w:rPr>
          <w:rFonts w:ascii="Arial" w:hAnsi="Arial" w:cs="Arial"/>
          <w:vertAlign w:val="superscript"/>
        </w:rPr>
        <w:t>v</w:t>
      </w:r>
      <w:r w:rsidR="00D95333" w:rsidRPr="00D95333">
        <w:rPr>
          <w:rFonts w:ascii="Arial" w:hAnsi="Arial" w:cs="Arial"/>
          <w:vertAlign w:val="superscript"/>
        </w:rPr>
        <w:t>iii</w:t>
      </w:r>
      <w:r w:rsidR="00885DF1">
        <w:rPr>
          <w:rFonts w:ascii="Arial" w:hAnsi="Arial" w:cs="Arial"/>
        </w:rPr>
        <w:t>.</w:t>
      </w:r>
    </w:p>
    <w:p w:rsidR="00E257B6" w:rsidRPr="00DC7E4F" w:rsidRDefault="00E257B6" w:rsidP="00DC7E4F">
      <w:pPr>
        <w:pStyle w:val="NurText"/>
        <w:spacing w:line="276" w:lineRule="auto"/>
        <w:jc w:val="both"/>
        <w:rPr>
          <w:rFonts w:ascii="Arial" w:hAnsi="Arial" w:cs="Arial"/>
        </w:rPr>
      </w:pPr>
    </w:p>
    <w:p w:rsidR="00B81A8E" w:rsidRPr="00687C20" w:rsidRDefault="002E425C" w:rsidP="007C25F9">
      <w:pPr>
        <w:pStyle w:val="NurText"/>
        <w:spacing w:before="120" w:line="276" w:lineRule="auto"/>
        <w:jc w:val="both"/>
        <w:rPr>
          <w:rFonts w:ascii="Arial" w:hAnsi="Arial" w:cs="Arial"/>
          <w:b/>
          <w:u w:val="single"/>
        </w:rPr>
      </w:pPr>
      <w:r w:rsidRPr="00687C20">
        <w:rPr>
          <w:rFonts w:ascii="Arial" w:hAnsi="Arial" w:cs="Arial"/>
          <w:b/>
          <w:u w:val="single"/>
        </w:rPr>
        <w:t xml:space="preserve">Abgrenzung zu </w:t>
      </w:r>
      <w:r w:rsidR="00BF32E3" w:rsidRPr="00687C20">
        <w:rPr>
          <w:rFonts w:ascii="Arial" w:hAnsi="Arial" w:cs="Arial"/>
          <w:b/>
          <w:u w:val="single"/>
        </w:rPr>
        <w:t>„</w:t>
      </w:r>
      <w:r w:rsidRPr="00687C20">
        <w:rPr>
          <w:rFonts w:ascii="Arial" w:hAnsi="Arial" w:cs="Arial"/>
          <w:b/>
          <w:u w:val="single"/>
        </w:rPr>
        <w:t>r</w:t>
      </w:r>
      <w:r w:rsidR="00A96A8E" w:rsidRPr="00687C20">
        <w:rPr>
          <w:rFonts w:ascii="Arial" w:hAnsi="Arial" w:cs="Arial"/>
          <w:b/>
          <w:u w:val="single"/>
        </w:rPr>
        <w:t>e-</w:t>
      </w:r>
      <w:r w:rsidR="00B81A8E" w:rsidRPr="00687C20">
        <w:rPr>
          <w:rFonts w:ascii="Arial" w:hAnsi="Arial" w:cs="Arial"/>
          <w:b/>
          <w:u w:val="single"/>
        </w:rPr>
        <w:t>positive</w:t>
      </w:r>
      <w:r w:rsidRPr="00687C20">
        <w:rPr>
          <w:rFonts w:ascii="Arial" w:hAnsi="Arial" w:cs="Arial"/>
          <w:b/>
          <w:u w:val="single"/>
        </w:rPr>
        <w:t>n</w:t>
      </w:r>
      <w:r w:rsidR="00B81A8E" w:rsidRPr="00687C20">
        <w:rPr>
          <w:rFonts w:ascii="Arial" w:hAnsi="Arial" w:cs="Arial"/>
          <w:b/>
          <w:u w:val="single"/>
        </w:rPr>
        <w:t xml:space="preserve">“ </w:t>
      </w:r>
      <w:r w:rsidR="00A96A8E" w:rsidRPr="00687C20">
        <w:rPr>
          <w:rFonts w:ascii="Arial" w:hAnsi="Arial" w:cs="Arial"/>
          <w:b/>
          <w:u w:val="single"/>
        </w:rPr>
        <w:t>PCR</w:t>
      </w:r>
      <w:r w:rsidR="00B81A8E" w:rsidRPr="00687C20">
        <w:rPr>
          <w:rFonts w:ascii="Arial" w:hAnsi="Arial" w:cs="Arial"/>
          <w:b/>
          <w:u w:val="single"/>
        </w:rPr>
        <w:t>s</w:t>
      </w:r>
    </w:p>
    <w:p w:rsidR="00BC3D0F" w:rsidRDefault="00771E77" w:rsidP="00BC3D0F">
      <w:pPr>
        <w:pStyle w:val="Nur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SARS-CoV-2 qRT-PCR kann </w:t>
      </w:r>
      <w:r w:rsidR="002E425C">
        <w:rPr>
          <w:rFonts w:ascii="Arial" w:hAnsi="Arial" w:cs="Arial"/>
        </w:rPr>
        <w:t>noch</w:t>
      </w:r>
      <w:r>
        <w:rPr>
          <w:rFonts w:ascii="Arial" w:hAnsi="Arial" w:cs="Arial"/>
        </w:rPr>
        <w:t xml:space="preserve"> </w:t>
      </w:r>
      <w:r w:rsidR="0074796F">
        <w:rPr>
          <w:rFonts w:ascii="Arial" w:hAnsi="Arial" w:cs="Arial"/>
        </w:rPr>
        <w:t>Wochen nach Genesung</w:t>
      </w:r>
      <w:r w:rsidR="0074796F" w:rsidRPr="0074796F">
        <w:rPr>
          <w:rFonts w:ascii="Arial" w:hAnsi="Arial" w:cs="Arial"/>
        </w:rPr>
        <w:t xml:space="preserve"> </w:t>
      </w:r>
      <w:r w:rsidR="00D95333">
        <w:rPr>
          <w:rFonts w:ascii="Arial" w:hAnsi="Arial" w:cs="Arial"/>
        </w:rPr>
        <w:t>positiv ausfallen</w:t>
      </w:r>
      <w:r w:rsidR="0074796F">
        <w:rPr>
          <w:rStyle w:val="Endnotenzeichen"/>
          <w:rFonts w:ascii="Arial" w:hAnsi="Arial" w:cs="Arial"/>
        </w:rPr>
        <w:endnoteReference w:id="18"/>
      </w:r>
      <w:r w:rsidR="0074796F">
        <w:rPr>
          <w:rFonts w:ascii="Arial" w:hAnsi="Arial" w:cs="Arial"/>
          <w:vertAlign w:val="superscript"/>
        </w:rPr>
        <w:t>,</w:t>
      </w:r>
      <w:r w:rsidR="0074796F">
        <w:rPr>
          <w:rStyle w:val="Endnotenzeichen"/>
          <w:rFonts w:ascii="Arial" w:hAnsi="Arial" w:cs="Arial"/>
        </w:rPr>
        <w:endnoteReference w:id="19"/>
      </w:r>
      <w:r w:rsidR="0049649D">
        <w:rPr>
          <w:rFonts w:ascii="Arial" w:hAnsi="Arial" w:cs="Arial"/>
          <w:vertAlign w:val="superscript"/>
        </w:rPr>
        <w:t>,</w:t>
      </w:r>
      <w:r w:rsidR="0049649D">
        <w:rPr>
          <w:rStyle w:val="Endnotenzeichen"/>
          <w:rFonts w:ascii="Arial" w:hAnsi="Arial" w:cs="Arial"/>
        </w:rPr>
        <w:endnoteReference w:id="20"/>
      </w:r>
      <w:r w:rsidR="00EA21F6">
        <w:rPr>
          <w:rFonts w:ascii="Arial" w:hAnsi="Arial" w:cs="Arial"/>
        </w:rPr>
        <w:t>. Die Virusanzucht (als Surrogat für statthabende Replikation und Infektiosität) gelingt bei mild-moderaten Verläufen aber nur in Einzelfällen für länger als 10 Tage nach  Krankheitsbeginn</w:t>
      </w:r>
      <w:r w:rsidR="002E425C">
        <w:rPr>
          <w:rStyle w:val="Funotenzeichen"/>
          <w:rFonts w:ascii="Arial" w:hAnsi="Arial" w:cs="Arial"/>
        </w:rPr>
        <w:footnoteReference w:id="1"/>
      </w:r>
      <w:r w:rsidR="002E425C" w:rsidRPr="002E425C">
        <w:rPr>
          <w:rFonts w:ascii="Arial" w:hAnsi="Arial" w:cs="Arial"/>
          <w:vertAlign w:val="superscript"/>
        </w:rPr>
        <w:t>,</w:t>
      </w:r>
      <w:r w:rsidR="00931BCC">
        <w:rPr>
          <w:rStyle w:val="Endnotenzeichen"/>
          <w:rFonts w:ascii="Arial" w:hAnsi="Arial" w:cs="Arial"/>
        </w:rPr>
        <w:endnoteReference w:id="21"/>
      </w:r>
      <w:r w:rsidR="00931BCC" w:rsidRPr="009F6DD9">
        <w:rPr>
          <w:rFonts w:ascii="Arial" w:hAnsi="Arial" w:cs="Arial"/>
          <w:vertAlign w:val="superscript"/>
        </w:rPr>
        <w:t>,</w:t>
      </w:r>
      <w:r w:rsidR="00931BCC">
        <w:rPr>
          <w:rStyle w:val="Endnotenzeichen"/>
          <w:rFonts w:ascii="Arial" w:hAnsi="Arial" w:cs="Arial"/>
        </w:rPr>
        <w:endnoteReference w:id="22"/>
      </w:r>
      <w:r w:rsidR="00931BCC">
        <w:rPr>
          <w:rFonts w:ascii="Arial" w:hAnsi="Arial" w:cs="Arial"/>
          <w:vertAlign w:val="superscript"/>
        </w:rPr>
        <w:t>,</w:t>
      </w:r>
      <w:r w:rsidR="00EA21F6">
        <w:rPr>
          <w:rStyle w:val="Endnotenzeichen"/>
          <w:rFonts w:ascii="Arial" w:hAnsi="Arial" w:cs="Arial"/>
        </w:rPr>
        <w:endnoteReference w:id="23"/>
      </w:r>
      <w:r w:rsidR="00721711" w:rsidRPr="00721711">
        <w:rPr>
          <w:rFonts w:ascii="Arial" w:hAnsi="Arial" w:cs="Arial"/>
        </w:rPr>
        <w:t>.</w:t>
      </w:r>
      <w:r w:rsidR="00931BCC">
        <w:rPr>
          <w:rFonts w:ascii="Arial" w:hAnsi="Arial" w:cs="Arial"/>
        </w:rPr>
        <w:t xml:space="preserve"> </w:t>
      </w:r>
      <w:r w:rsidR="008A374B">
        <w:rPr>
          <w:rFonts w:ascii="Arial" w:hAnsi="Arial" w:cs="Arial"/>
        </w:rPr>
        <w:t xml:space="preserve">Eine denkbare Erklärung </w:t>
      </w:r>
      <w:r w:rsidR="0035722D">
        <w:rPr>
          <w:rFonts w:ascii="Arial" w:hAnsi="Arial" w:cs="Arial"/>
        </w:rPr>
        <w:t>ist, dass</w:t>
      </w:r>
      <w:r w:rsidR="008A374B">
        <w:rPr>
          <w:rFonts w:ascii="Arial" w:hAnsi="Arial" w:cs="Arial"/>
        </w:rPr>
        <w:t xml:space="preserve"> </w:t>
      </w:r>
      <w:r w:rsidR="0035722D">
        <w:rPr>
          <w:rFonts w:ascii="Arial" w:hAnsi="Arial" w:cs="Arial"/>
        </w:rPr>
        <w:t xml:space="preserve">hierbei </w:t>
      </w:r>
      <w:r w:rsidR="00F658FA">
        <w:rPr>
          <w:rFonts w:ascii="Arial" w:hAnsi="Arial" w:cs="Arial"/>
        </w:rPr>
        <w:t>nicht</w:t>
      </w:r>
      <w:r w:rsidR="0035722D">
        <w:rPr>
          <w:rFonts w:ascii="Arial" w:hAnsi="Arial" w:cs="Arial"/>
        </w:rPr>
        <w:t xml:space="preserve"> aktiv replizierende Viren </w:t>
      </w:r>
      <w:r w:rsidR="00F658FA">
        <w:rPr>
          <w:rFonts w:ascii="Arial" w:hAnsi="Arial" w:cs="Arial"/>
        </w:rPr>
        <w:t xml:space="preserve">sondern </w:t>
      </w:r>
      <w:r w:rsidR="00931BCC">
        <w:rPr>
          <w:rFonts w:ascii="Arial" w:hAnsi="Arial" w:cs="Arial"/>
        </w:rPr>
        <w:t>RNA-F</w:t>
      </w:r>
      <w:r w:rsidR="00B81A8E">
        <w:rPr>
          <w:rFonts w:ascii="Arial" w:hAnsi="Arial" w:cs="Arial"/>
        </w:rPr>
        <w:t>ragmente</w:t>
      </w:r>
      <w:r w:rsidR="0035722D">
        <w:rPr>
          <w:rFonts w:ascii="Arial" w:hAnsi="Arial" w:cs="Arial"/>
        </w:rPr>
        <w:t xml:space="preserve"> gemessen werden, die in sogenannten Doppelme</w:t>
      </w:r>
      <w:r w:rsidR="00994560">
        <w:rPr>
          <w:rFonts w:ascii="Arial" w:hAnsi="Arial" w:cs="Arial"/>
        </w:rPr>
        <w:t>m</w:t>
      </w:r>
      <w:r w:rsidR="0035722D">
        <w:rPr>
          <w:rFonts w:ascii="Arial" w:hAnsi="Arial" w:cs="Arial"/>
        </w:rPr>
        <w:t xml:space="preserve">branvesikeln </w:t>
      </w:r>
      <w:r w:rsidR="00994560">
        <w:rPr>
          <w:rFonts w:ascii="Arial" w:hAnsi="Arial" w:cs="Arial"/>
        </w:rPr>
        <w:t>äusserst stabil bleiben</w:t>
      </w:r>
      <w:r w:rsidR="00994560">
        <w:rPr>
          <w:rStyle w:val="Endnotenzeichen"/>
          <w:rFonts w:ascii="Arial" w:hAnsi="Arial" w:cs="Arial"/>
        </w:rPr>
        <w:endnoteReference w:id="24"/>
      </w:r>
      <w:r w:rsidR="00994560">
        <w:rPr>
          <w:rFonts w:ascii="Arial" w:hAnsi="Arial" w:cs="Arial"/>
        </w:rPr>
        <w:t xml:space="preserve">. </w:t>
      </w:r>
      <w:r w:rsidR="0089170F">
        <w:rPr>
          <w:rFonts w:ascii="Arial" w:hAnsi="Arial" w:cs="Arial"/>
        </w:rPr>
        <w:t>„Re-positive“ PCRs</w:t>
      </w:r>
      <w:r w:rsidR="0049649D">
        <w:rPr>
          <w:rFonts w:ascii="Arial" w:hAnsi="Arial" w:cs="Arial"/>
        </w:rPr>
        <w:t xml:space="preserve"> nach zwei Negativtestungen treten in </w:t>
      </w:r>
      <w:r w:rsidR="0089170F">
        <w:rPr>
          <w:rFonts w:ascii="Arial" w:hAnsi="Arial" w:cs="Arial"/>
        </w:rPr>
        <w:t xml:space="preserve">bis zu 30% der untersuchten Patienten </w:t>
      </w:r>
      <w:r w:rsidR="00D95333">
        <w:rPr>
          <w:rFonts w:ascii="Arial" w:hAnsi="Arial" w:cs="Arial"/>
        </w:rPr>
        <w:t>auf</w:t>
      </w:r>
      <w:r w:rsidR="0049649D">
        <w:rPr>
          <w:rStyle w:val="Endnotenzeichen"/>
          <w:rFonts w:ascii="Arial" w:hAnsi="Arial" w:cs="Arial"/>
        </w:rPr>
        <w:endnoteReference w:id="25"/>
      </w:r>
      <w:r w:rsidR="0049649D" w:rsidRPr="0049649D">
        <w:rPr>
          <w:rFonts w:ascii="Arial" w:hAnsi="Arial" w:cs="Arial"/>
          <w:vertAlign w:val="superscript"/>
        </w:rPr>
        <w:t xml:space="preserve">, </w:t>
      </w:r>
      <w:r w:rsidR="0049649D">
        <w:rPr>
          <w:rStyle w:val="Endnotenzeichen"/>
          <w:rFonts w:ascii="Arial" w:hAnsi="Arial" w:cs="Arial"/>
        </w:rPr>
        <w:endnoteReference w:id="26"/>
      </w:r>
      <w:r w:rsidR="008A374B">
        <w:rPr>
          <w:rFonts w:ascii="Arial" w:hAnsi="Arial" w:cs="Arial"/>
        </w:rPr>
        <w:t>, gingen aber in einer großangelegten Studie des koreanischen CDC nicht mit Ansteckungsfähigkeit bzw. der Ausscheidung lebensfähiger Viren einher</w:t>
      </w:r>
      <w:r w:rsidR="008A374B">
        <w:rPr>
          <w:rStyle w:val="Endnotenzeichen"/>
          <w:rFonts w:ascii="Arial" w:hAnsi="Arial" w:cs="Arial"/>
        </w:rPr>
        <w:endnoteReference w:id="27"/>
      </w:r>
      <w:r w:rsidR="00045A48">
        <w:rPr>
          <w:rFonts w:ascii="Arial" w:hAnsi="Arial" w:cs="Arial"/>
        </w:rPr>
        <w:t>.</w:t>
      </w:r>
      <w:r w:rsidR="00994560">
        <w:rPr>
          <w:rFonts w:ascii="Arial" w:hAnsi="Arial" w:cs="Arial"/>
        </w:rPr>
        <w:t xml:space="preserve"> </w:t>
      </w:r>
      <w:r w:rsidR="00B81A8E">
        <w:rPr>
          <w:rFonts w:ascii="Arial" w:hAnsi="Arial" w:cs="Arial"/>
        </w:rPr>
        <w:t xml:space="preserve">Wenn nur ein kurzer </w:t>
      </w:r>
      <w:r w:rsidR="00B81A8E">
        <w:rPr>
          <w:rFonts w:ascii="Arial" w:hAnsi="Arial" w:cs="Arial"/>
        </w:rPr>
        <w:lastRenderedPageBreak/>
        <w:t xml:space="preserve">Zeitabstand </w:t>
      </w:r>
      <w:r w:rsidR="00994560">
        <w:rPr>
          <w:rFonts w:ascii="Arial" w:hAnsi="Arial" w:cs="Arial"/>
        </w:rPr>
        <w:t xml:space="preserve"> </w:t>
      </w:r>
      <w:r w:rsidR="00B81A8E">
        <w:rPr>
          <w:rFonts w:ascii="Arial" w:hAnsi="Arial" w:cs="Arial"/>
        </w:rPr>
        <w:t xml:space="preserve">(&lt;6-8 Wochen) nach gesicherter („Erst-“) Infektion vorliegt, dann </w:t>
      </w:r>
      <w:r w:rsidR="002E425C">
        <w:rPr>
          <w:rFonts w:ascii="Arial" w:hAnsi="Arial" w:cs="Arial"/>
        </w:rPr>
        <w:t>gelten</w:t>
      </w:r>
      <w:r w:rsidR="008A374B">
        <w:rPr>
          <w:rFonts w:ascii="Arial" w:hAnsi="Arial" w:cs="Arial"/>
        </w:rPr>
        <w:t xml:space="preserve"> Reinfektionen </w:t>
      </w:r>
      <w:r w:rsidR="00994560">
        <w:rPr>
          <w:rFonts w:ascii="Arial" w:hAnsi="Arial" w:cs="Arial"/>
        </w:rPr>
        <w:t xml:space="preserve">oder Reaktivierungen </w:t>
      </w:r>
      <w:r w:rsidR="002E425C">
        <w:rPr>
          <w:rFonts w:ascii="Arial" w:hAnsi="Arial" w:cs="Arial"/>
        </w:rPr>
        <w:t>als eher unwahrscheinlich</w:t>
      </w:r>
      <w:r w:rsidR="00BC3D0F">
        <w:rPr>
          <w:rFonts w:ascii="Arial" w:hAnsi="Arial" w:cs="Arial"/>
        </w:rPr>
        <w:t xml:space="preserve">. Niedrige Genomkopienzahl bzw. Abwesenheit von Symptomen könnten zwar gegen eine Reinfektion sprechen, aber auch für abortiven Verlauf einer Reinfektion, die erfolgreich durch das Immunsystem abgewehrt wird.  </w:t>
      </w:r>
    </w:p>
    <w:p w:rsidR="00885DF1" w:rsidRDefault="00885DF1" w:rsidP="005C4F8A">
      <w:pPr>
        <w:pStyle w:val="NurText"/>
        <w:spacing w:line="276" w:lineRule="auto"/>
        <w:jc w:val="both"/>
        <w:rPr>
          <w:rFonts w:ascii="Arial" w:hAnsi="Arial" w:cs="Arial"/>
        </w:rPr>
      </w:pPr>
    </w:p>
    <w:p w:rsidR="00994560" w:rsidRPr="00687C20" w:rsidRDefault="002E425C" w:rsidP="005C4F8A">
      <w:pPr>
        <w:pStyle w:val="NurText"/>
        <w:spacing w:line="276" w:lineRule="auto"/>
        <w:jc w:val="both"/>
        <w:rPr>
          <w:rFonts w:ascii="Arial" w:hAnsi="Arial" w:cs="Arial"/>
          <w:b/>
          <w:u w:val="single"/>
        </w:rPr>
      </w:pPr>
      <w:r w:rsidRPr="00687C20">
        <w:rPr>
          <w:rFonts w:ascii="Arial" w:hAnsi="Arial" w:cs="Arial"/>
          <w:b/>
          <w:u w:val="single"/>
        </w:rPr>
        <w:t xml:space="preserve">Abgrenzung zu </w:t>
      </w:r>
      <w:r w:rsidR="00687C20" w:rsidRPr="00687C20">
        <w:rPr>
          <w:rFonts w:ascii="Arial" w:hAnsi="Arial" w:cs="Arial"/>
          <w:b/>
          <w:u w:val="single"/>
        </w:rPr>
        <w:t xml:space="preserve">Reaktivierung/ </w:t>
      </w:r>
      <w:r w:rsidR="00994560" w:rsidRPr="00687C20">
        <w:rPr>
          <w:rFonts w:ascii="Arial" w:hAnsi="Arial" w:cs="Arial"/>
          <w:b/>
          <w:u w:val="single"/>
        </w:rPr>
        <w:t>Persistenz</w:t>
      </w:r>
    </w:p>
    <w:p w:rsidR="0089170F" w:rsidRDefault="00E257B6" w:rsidP="00045A48">
      <w:pPr>
        <w:pStyle w:val="Nur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Generell gibt es Viren, die die</w:t>
      </w:r>
      <w:r w:rsidRPr="00BE4DEB">
        <w:rPr>
          <w:rFonts w:ascii="Arial" w:hAnsi="Arial" w:cs="Arial"/>
        </w:rPr>
        <w:t xml:space="preserve"> Persistenz von Genom</w:t>
      </w:r>
      <w:r>
        <w:rPr>
          <w:rFonts w:ascii="Arial" w:hAnsi="Arial" w:cs="Arial"/>
        </w:rPr>
        <w:t>,</w:t>
      </w:r>
      <w:r w:rsidRPr="00BE4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insbesondere </w:t>
      </w:r>
      <w:r w:rsidRPr="00BE4DEB">
        <w:rPr>
          <w:rFonts w:ascii="Arial" w:hAnsi="Arial" w:cs="Arial"/>
        </w:rPr>
        <w:t>im lymphatischen Gewebe</w:t>
      </w:r>
      <w:r>
        <w:rPr>
          <w:rFonts w:ascii="Arial" w:hAnsi="Arial" w:cs="Arial"/>
        </w:rPr>
        <w:t>,</w:t>
      </w:r>
      <w:r w:rsidRPr="00BE4DEB">
        <w:rPr>
          <w:rFonts w:ascii="Arial" w:hAnsi="Arial" w:cs="Arial"/>
        </w:rPr>
        <w:t xml:space="preserve"> für die Aufrechterhaltung von Infektionszyklen</w:t>
      </w:r>
      <w:r>
        <w:rPr>
          <w:rFonts w:ascii="Arial" w:hAnsi="Arial" w:cs="Arial"/>
        </w:rPr>
        <w:t xml:space="preserve"> nutzen. </w:t>
      </w:r>
      <w:r w:rsidR="00994560" w:rsidRPr="00BE4DEB">
        <w:rPr>
          <w:rFonts w:ascii="Arial" w:hAnsi="Arial" w:cs="Arial"/>
        </w:rPr>
        <w:t xml:space="preserve">Zur Persistenz von Coronaviren gibt </w:t>
      </w:r>
      <w:r w:rsidR="00994560">
        <w:rPr>
          <w:rFonts w:ascii="Arial" w:hAnsi="Arial" w:cs="Arial"/>
        </w:rPr>
        <w:t xml:space="preserve">es </w:t>
      </w:r>
      <w:r w:rsidR="00A267AB">
        <w:rPr>
          <w:rFonts w:ascii="Arial" w:hAnsi="Arial" w:cs="Arial"/>
        </w:rPr>
        <w:t>bisher</w:t>
      </w:r>
      <w:r>
        <w:rPr>
          <w:rFonts w:ascii="Arial" w:hAnsi="Arial" w:cs="Arial"/>
        </w:rPr>
        <w:t xml:space="preserve"> </w:t>
      </w:r>
      <w:r w:rsidR="00994560">
        <w:rPr>
          <w:rFonts w:ascii="Arial" w:hAnsi="Arial" w:cs="Arial"/>
        </w:rPr>
        <w:t>keine belastbaren Daten</w:t>
      </w:r>
      <w:r w:rsidR="00BE0452">
        <w:rPr>
          <w:rFonts w:ascii="Arial" w:hAnsi="Arial" w:cs="Arial"/>
        </w:rPr>
        <w:t xml:space="preserve">. Es ist nicht ausgeschlossen, dass SARS-CoV-2 zur Persistenz fähig ist. </w:t>
      </w:r>
      <w:r w:rsidR="002E425C">
        <w:rPr>
          <w:rFonts w:ascii="Arial" w:hAnsi="Arial" w:cs="Arial"/>
        </w:rPr>
        <w:t>Eine präzise</w:t>
      </w:r>
      <w:r w:rsidR="00BE0452">
        <w:rPr>
          <w:rFonts w:ascii="Arial" w:hAnsi="Arial" w:cs="Arial"/>
        </w:rPr>
        <w:t xml:space="preserve"> Differenzierung zwischen Reinfektion durch ein neues </w:t>
      </w:r>
      <w:r w:rsidR="00BC3D0F">
        <w:rPr>
          <w:rFonts w:ascii="Arial" w:hAnsi="Arial" w:cs="Arial"/>
        </w:rPr>
        <w:t>und</w:t>
      </w:r>
      <w:r w:rsidR="00BE0452">
        <w:rPr>
          <w:rFonts w:ascii="Arial" w:hAnsi="Arial" w:cs="Arial"/>
        </w:rPr>
        <w:t xml:space="preserve"> Reaktivierung eines persistierenden Virus ließe sich durch </w:t>
      </w:r>
      <w:r w:rsidR="002E425C">
        <w:rPr>
          <w:rFonts w:ascii="Arial" w:hAnsi="Arial" w:cs="Arial"/>
        </w:rPr>
        <w:t>den</w:t>
      </w:r>
      <w:r w:rsidR="00BE0452">
        <w:rPr>
          <w:rFonts w:ascii="Arial" w:hAnsi="Arial" w:cs="Arial"/>
        </w:rPr>
        <w:t xml:space="preserve"> genetischen Sequenzvergleich mit dem </w:t>
      </w:r>
      <w:r w:rsidR="002E425C">
        <w:rPr>
          <w:rFonts w:ascii="Arial" w:hAnsi="Arial" w:cs="Arial"/>
        </w:rPr>
        <w:t>Virus</w:t>
      </w:r>
      <w:r w:rsidR="00BE0452">
        <w:rPr>
          <w:rFonts w:ascii="Arial" w:hAnsi="Arial" w:cs="Arial"/>
        </w:rPr>
        <w:t xml:space="preserve">isolat </w:t>
      </w:r>
      <w:r w:rsidR="002E425C">
        <w:rPr>
          <w:rFonts w:ascii="Arial" w:hAnsi="Arial" w:cs="Arial"/>
        </w:rPr>
        <w:t xml:space="preserve">der Erstinfektion </w:t>
      </w:r>
      <w:r w:rsidR="00BE0452">
        <w:rPr>
          <w:rFonts w:ascii="Arial" w:hAnsi="Arial" w:cs="Arial"/>
        </w:rPr>
        <w:t xml:space="preserve">treffen. </w:t>
      </w:r>
    </w:p>
    <w:p w:rsidR="0074796F" w:rsidRDefault="0074796F" w:rsidP="005C4F8A">
      <w:pPr>
        <w:pStyle w:val="NurText"/>
        <w:spacing w:line="276" w:lineRule="auto"/>
        <w:jc w:val="both"/>
        <w:rPr>
          <w:rFonts w:ascii="Arial" w:hAnsi="Arial" w:cs="Arial"/>
        </w:rPr>
      </w:pPr>
    </w:p>
    <w:sectPr w:rsidR="0074796F" w:rsidSect="00B81A8E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3D" w:rsidRDefault="00BD143D" w:rsidP="00387F3A">
      <w:pPr>
        <w:spacing w:after="0" w:line="240" w:lineRule="auto"/>
      </w:pPr>
      <w:r>
        <w:separator/>
      </w:r>
    </w:p>
  </w:endnote>
  <w:endnote w:type="continuationSeparator" w:id="0">
    <w:p w:rsidR="00BD143D" w:rsidRDefault="00BD143D" w:rsidP="00387F3A">
      <w:pPr>
        <w:spacing w:after="0" w:line="240" w:lineRule="auto"/>
      </w:pPr>
      <w:r>
        <w:continuationSeparator/>
      </w:r>
    </w:p>
  </w:endnote>
  <w:endnote w:id="1">
    <w:p w:rsidR="00F50A10" w:rsidRPr="00687C20" w:rsidRDefault="00F50A10" w:rsidP="00946E10">
      <w:pPr>
        <w:pStyle w:val="Endnotentext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F50A10" w:rsidRDefault="00F50A10" w:rsidP="00946E10">
      <w:pPr>
        <w:pStyle w:val="Endnotentext"/>
        <w:spacing w:line="276" w:lineRule="auto"/>
        <w:jc w:val="both"/>
        <w:rPr>
          <w:rFonts w:ascii="Arial" w:hAnsi="Arial" w:cs="Arial"/>
          <w:b/>
        </w:rPr>
      </w:pPr>
      <w:r w:rsidRPr="00F50A10">
        <w:rPr>
          <w:rFonts w:ascii="Arial" w:hAnsi="Arial" w:cs="Arial"/>
          <w:b/>
        </w:rPr>
        <w:t>REFERENZEN</w:t>
      </w:r>
    </w:p>
    <w:p w:rsidR="00F50A10" w:rsidRPr="00687C20" w:rsidRDefault="00F50A10" w:rsidP="00946E10">
      <w:pPr>
        <w:pStyle w:val="Endnotentext"/>
        <w:spacing w:line="276" w:lineRule="auto"/>
        <w:jc w:val="both"/>
        <w:rPr>
          <w:rFonts w:ascii="Arial" w:hAnsi="Arial" w:cs="Arial"/>
          <w:b/>
          <w:sz w:val="6"/>
        </w:rPr>
      </w:pPr>
    </w:p>
    <w:p w:rsidR="008E1637" w:rsidRPr="00F50A10" w:rsidRDefault="008E1637" w:rsidP="00946E10">
      <w:pPr>
        <w:pStyle w:val="Endnotentext"/>
        <w:spacing w:line="276" w:lineRule="auto"/>
        <w:jc w:val="both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F50A10">
        <w:rPr>
          <w:rFonts w:ascii="Arial" w:hAnsi="Arial" w:cs="Arial"/>
        </w:rPr>
        <w:t xml:space="preserve"> Wang SF, Tseng SP, Yen CH, Yang JY, Tsao CH, Shen CW, Chen KH, Liu FT, Liu WT, Chen YM, Huang JC. </w:t>
      </w:r>
      <w:r w:rsidRPr="00F50A10">
        <w:rPr>
          <w:rFonts w:ascii="Arial" w:hAnsi="Arial" w:cs="Arial"/>
          <w:lang w:val="en-US"/>
        </w:rPr>
        <w:t>Biochem Biophys Res Commun. 2014;22;451(2):208-14.</w:t>
      </w:r>
    </w:p>
  </w:endnote>
  <w:endnote w:id="2">
    <w:p w:rsidR="008E1637" w:rsidRPr="00F50A10" w:rsidRDefault="008E1637" w:rsidP="00E64A2D">
      <w:pPr>
        <w:pStyle w:val="Endnotentext"/>
        <w:spacing w:line="276" w:lineRule="auto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F50A10">
        <w:rPr>
          <w:rFonts w:ascii="Arial" w:hAnsi="Arial" w:cs="Arial"/>
          <w:lang w:val="en-US"/>
        </w:rPr>
        <w:t xml:space="preserve"> Jaume M, Yip MS, Cheung CY, et al. Anti-severe acute respiratory syndrome coronavirus spike antibodies trigger infection of human immune cells via a pH- and cysteine protease-independent Fc</w:t>
      </w:r>
      <w:r w:rsidRPr="00F50A10">
        <w:rPr>
          <w:rFonts w:ascii="Arial" w:hAnsi="Arial" w:cs="Arial"/>
        </w:rPr>
        <w:t>γ</w:t>
      </w:r>
      <w:r w:rsidRPr="00F50A10">
        <w:rPr>
          <w:rFonts w:ascii="Arial" w:hAnsi="Arial" w:cs="Arial"/>
          <w:lang w:val="en-US"/>
        </w:rPr>
        <w:t>R pathway. J Virol. 2011;85(20):10582</w:t>
      </w:r>
      <w:r w:rsidRPr="00F50A10">
        <w:rPr>
          <w:rFonts w:ascii="Cambria Math" w:hAnsi="Cambria Math" w:cs="Cambria Math"/>
          <w:lang w:val="en-US"/>
        </w:rPr>
        <w:t>‐</w:t>
      </w:r>
      <w:r w:rsidRPr="00F50A10">
        <w:rPr>
          <w:rFonts w:ascii="Arial" w:hAnsi="Arial" w:cs="Arial"/>
          <w:lang w:val="en-US"/>
        </w:rPr>
        <w:t>10597.</w:t>
      </w:r>
    </w:p>
  </w:endnote>
  <w:endnote w:id="3">
    <w:p w:rsidR="008E1637" w:rsidRPr="00F50A10" w:rsidRDefault="008E1637" w:rsidP="00E64A2D">
      <w:pPr>
        <w:pStyle w:val="Endnotentext"/>
        <w:spacing w:line="276" w:lineRule="auto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F50A10">
        <w:rPr>
          <w:rFonts w:ascii="Arial" w:hAnsi="Arial" w:cs="Arial"/>
          <w:lang w:val="en-US"/>
        </w:rPr>
        <w:t xml:space="preserve"> Takada A, Kawaoka Y. Antibody-dependent enhancement of viral infection: molecular mechanisms and in vivo implications. Rev Med Virol. 2003;13(6):387–98.</w:t>
      </w:r>
    </w:p>
  </w:endnote>
  <w:endnote w:id="4">
    <w:p w:rsidR="008E1637" w:rsidRPr="00D95333" w:rsidRDefault="008E1637" w:rsidP="00D87A4B">
      <w:pPr>
        <w:pStyle w:val="Fu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https://www.vox.com/2020/7/12/21321653/getting-covid-19-twice-reinfection-antibody-herd-immunity</w:t>
      </w:r>
    </w:p>
  </w:endnote>
  <w:endnote w:id="5">
    <w:p w:rsidR="008E1637" w:rsidRPr="00D95333" w:rsidRDefault="008E1637" w:rsidP="00D87A4B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Callow et al. Epidemiol. Infect. (1990), 105, 435-446. https://www.ncbi.nlm.nih.gov/pmc/articles/PMC2271881/pdf/epidinfect00023-0213.pdf</w:t>
      </w:r>
    </w:p>
  </w:endnote>
  <w:endnote w:id="6">
    <w:p w:rsidR="008E1637" w:rsidRPr="00D95333" w:rsidRDefault="008E1637" w:rsidP="00D87A4B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Galanti M &amp; Shaman J. Direct observation of repeated  infections with endemic coronaviruses. medRxiv 2020. doi: https://doi.org/10.1101/2020.04.27.20082032</w:t>
      </w:r>
    </w:p>
  </w:endnote>
  <w:endnote w:id="7">
    <w:p w:rsidR="00F658FA" w:rsidRPr="00D95333" w:rsidRDefault="00F658FA" w:rsidP="00F658FA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https://www.who.int/emergencies/mers-cov/en/</w:t>
      </w:r>
    </w:p>
  </w:endnote>
  <w:endnote w:id="8">
    <w:p w:rsidR="00F658FA" w:rsidRPr="00D95333" w:rsidRDefault="00F658FA" w:rsidP="00F658FA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Mo et al. </w:t>
      </w:r>
      <w:hyperlink r:id="rId1" w:history="1">
        <w:r w:rsidRPr="00F50A10">
          <w:rPr>
            <w:rStyle w:val="Hyperlink"/>
            <w:rFonts w:ascii="Arial" w:hAnsi="Arial" w:cs="Arial"/>
            <w:i/>
            <w:lang w:val="en-US"/>
          </w:rPr>
          <w:t>Respirology, 2006; 11(1): 49-53.</w:t>
        </w:r>
      </w:hyperlink>
    </w:p>
  </w:endnote>
  <w:endnote w:id="9">
    <w:p w:rsidR="00F658FA" w:rsidRPr="00D95333" w:rsidRDefault="00F658FA" w:rsidP="00F658FA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Anderson et al. Emerg. Mic. Inf. 2020</w:t>
      </w:r>
    </w:p>
  </w:endnote>
  <w:endnote w:id="10">
    <w:p w:rsidR="00F658FA" w:rsidRPr="00F50A10" w:rsidRDefault="00F658FA" w:rsidP="00F658FA">
      <w:pPr>
        <w:pStyle w:val="Endnotentext"/>
        <w:rPr>
          <w:rFonts w:ascii="Arial" w:hAnsi="Arial" w:cs="Arial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Tange et al. </w:t>
      </w:r>
      <w:r w:rsidRPr="00F50A10">
        <w:rPr>
          <w:rFonts w:ascii="Arial" w:hAnsi="Arial" w:cs="Arial"/>
        </w:rPr>
        <w:t>JImmunol. 2011. https://www.jimmunol.org/content/186/12/7264</w:t>
      </w:r>
    </w:p>
  </w:endnote>
  <w:endnote w:id="11">
    <w:p w:rsidR="008E1637" w:rsidRPr="00D95333" w:rsidRDefault="008E1637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Seow et al. https://www.medrxiv.org/content/10.1101/2020.07.09.20148429v1</w:t>
      </w:r>
    </w:p>
  </w:endnote>
  <w:endnote w:id="12">
    <w:p w:rsidR="008E1637" w:rsidRPr="00F50A10" w:rsidRDefault="008E1637" w:rsidP="00205E6D">
      <w:pPr>
        <w:pStyle w:val="Endnotentext"/>
        <w:rPr>
          <w:rFonts w:ascii="Arial" w:hAnsi="Arial" w:cs="Arial"/>
        </w:rPr>
      </w:pPr>
      <w:r w:rsidRPr="00F50A10">
        <w:rPr>
          <w:rStyle w:val="Endnotenzeichen"/>
          <w:rFonts w:ascii="Arial" w:hAnsi="Arial" w:cs="Arial"/>
        </w:rPr>
        <w:endnoteRef/>
      </w:r>
      <w:r w:rsidRPr="00F50A10">
        <w:rPr>
          <w:rFonts w:ascii="Arial" w:hAnsi="Arial" w:cs="Arial"/>
        </w:rPr>
        <w:t xml:space="preserve"> Wang et al. https://www.biorxiv.org/content/10.1101/2020.06.13.150250v1</w:t>
      </w:r>
    </w:p>
  </w:endnote>
  <w:endnote w:id="13">
    <w:p w:rsidR="008E1637" w:rsidRPr="00D95333" w:rsidRDefault="008E1637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Robbiani et al., Nature 2020. https://www.nature.com/articles/s41586-020-2456-9_reference.pdf</w:t>
      </w:r>
    </w:p>
  </w:endnote>
  <w:endnote w:id="14">
    <w:p w:rsidR="009649E8" w:rsidRPr="00D95333" w:rsidRDefault="009649E8" w:rsidP="009649E8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</w:t>
      </w:r>
      <w:r w:rsidRPr="00F50A10">
        <w:rPr>
          <w:rFonts w:ascii="Arial" w:hAnsi="Arial" w:cs="Arial"/>
          <w:lang w:val="en-US"/>
        </w:rPr>
        <w:t xml:space="preserve">Chandrashekar et al., SARS-CoV-2 infection protects against rechallenge in rhesus macaques. </w:t>
      </w:r>
      <w:hyperlink r:id="rId2" w:history="1">
        <w:r w:rsidRPr="00F50A10">
          <w:rPr>
            <w:rStyle w:val="Hyperlink"/>
            <w:rFonts w:ascii="Arial" w:hAnsi="Arial" w:cs="Arial"/>
            <w:i/>
            <w:lang w:val="en-US"/>
          </w:rPr>
          <w:t>Science 2020</w:t>
        </w:r>
      </w:hyperlink>
      <w:r w:rsidRPr="00F50A10">
        <w:rPr>
          <w:rFonts w:ascii="Arial" w:hAnsi="Arial" w:cs="Arial"/>
          <w:i/>
          <w:lang w:val="en-US"/>
        </w:rPr>
        <w:t>.</w:t>
      </w:r>
    </w:p>
  </w:endnote>
  <w:endnote w:id="15">
    <w:p w:rsidR="009649E8" w:rsidRPr="00D95333" w:rsidRDefault="009649E8" w:rsidP="009649E8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Deng et al. Science 2020. https://science.sciencemag.org/content/early/2020/07/01/science.abc5343</w:t>
      </w:r>
    </w:p>
  </w:endnote>
  <w:endnote w:id="16">
    <w:p w:rsidR="00885DF1" w:rsidRPr="00F50A10" w:rsidRDefault="00885DF1" w:rsidP="00885DF1">
      <w:pPr>
        <w:pStyle w:val="Endnotentext"/>
        <w:spacing w:line="276" w:lineRule="auto"/>
        <w:rPr>
          <w:rFonts w:ascii="Arial" w:hAnsi="Arial" w:cs="Arial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</w:rPr>
        <w:t xml:space="preserve"> Liu L, Wei Q, Lin Q, et al. </w:t>
      </w:r>
      <w:r w:rsidRPr="00F50A10">
        <w:rPr>
          <w:rFonts w:ascii="Arial" w:hAnsi="Arial" w:cs="Arial"/>
          <w:lang w:val="en-US"/>
        </w:rPr>
        <w:t xml:space="preserve">Anti-spike IgG causes severe acute lung injury by skewing macrophage responses during acute SARS-CoV infection. </w:t>
      </w:r>
      <w:r w:rsidRPr="00F50A10">
        <w:rPr>
          <w:rFonts w:ascii="Arial" w:hAnsi="Arial" w:cs="Arial"/>
        </w:rPr>
        <w:t>JCI Insight. 2019;4(4):e123158.</w:t>
      </w:r>
    </w:p>
  </w:endnote>
  <w:endnote w:id="17">
    <w:p w:rsidR="00885DF1" w:rsidRPr="00F50A10" w:rsidRDefault="00885DF1" w:rsidP="00885DF1">
      <w:pPr>
        <w:pStyle w:val="Endnotentext"/>
        <w:rPr>
          <w:rFonts w:ascii="Arial" w:hAnsi="Arial" w:cs="Arial"/>
        </w:rPr>
      </w:pPr>
      <w:r w:rsidRPr="00F50A10">
        <w:rPr>
          <w:rStyle w:val="Endnotenzeichen"/>
          <w:rFonts w:ascii="Arial" w:hAnsi="Arial" w:cs="Arial"/>
        </w:rPr>
        <w:endnoteRef/>
      </w:r>
      <w:r w:rsidRPr="00F50A10">
        <w:rPr>
          <w:rFonts w:ascii="Arial" w:hAnsi="Arial" w:cs="Arial"/>
        </w:rPr>
        <w:t xml:space="preserve"> Katzelnick et al., Science 2017. https://pubmed.ncbi.nlm.nih.gov/29097492/</w:t>
      </w:r>
    </w:p>
  </w:endnote>
  <w:endnote w:id="18">
    <w:p w:rsidR="008E1637" w:rsidRPr="00D95333" w:rsidRDefault="008E1637" w:rsidP="00E64A2D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Xiao et al., J Clin Virol. 2020, </w:t>
      </w:r>
    </w:p>
  </w:endnote>
  <w:endnote w:id="19">
    <w:p w:rsidR="008E1637" w:rsidRPr="00D95333" w:rsidRDefault="008E1637" w:rsidP="00E64A2D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Wajnberg et al., Med Rxiv 2020. https://www.medrxiv.org/content/10.1101/2020.04.30.20085613v1</w:t>
      </w:r>
    </w:p>
  </w:endnote>
  <w:endnote w:id="20">
    <w:p w:rsidR="008E1637" w:rsidRPr="00D95333" w:rsidRDefault="008E1637" w:rsidP="00E64A2D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https://www.cdc.go.kr/board/board.es?mid=a30402000000&amp;bid=0030</w:t>
      </w:r>
    </w:p>
  </w:endnote>
  <w:endnote w:id="21">
    <w:p w:rsidR="008E1637" w:rsidRPr="00D95333" w:rsidRDefault="008E1637" w:rsidP="00931BCC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Wölfel R et al. Virological assessment of hospitalized patients with COVID-2019. Nature. 2020;581(7809):465</w:t>
      </w:r>
      <w:r w:rsidRPr="00D95333">
        <w:rPr>
          <w:rFonts w:ascii="Cambria Math" w:hAnsi="Cambria Math" w:cs="Cambria Math"/>
          <w:lang w:val="en-US"/>
        </w:rPr>
        <w:t>‐</w:t>
      </w:r>
      <w:r w:rsidRPr="00D95333">
        <w:rPr>
          <w:rFonts w:ascii="Arial" w:hAnsi="Arial" w:cs="Arial"/>
          <w:lang w:val="en-US"/>
        </w:rPr>
        <w:t xml:space="preserve">469. </w:t>
      </w:r>
    </w:p>
  </w:endnote>
  <w:endnote w:id="22">
    <w:p w:rsidR="008E1637" w:rsidRPr="00D95333" w:rsidRDefault="008E1637" w:rsidP="00931BCC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Arons et al. Presymptomatic SARS-CoV-2 Infections and Transmission in a Skilled Nursing Facility. N Engl J Med 2020; 382:2081-2090. doi: 10.1056/NEJMoa2008457.</w:t>
      </w:r>
    </w:p>
  </w:endnote>
  <w:endnote w:id="23">
    <w:p w:rsidR="008E1637" w:rsidRPr="00D95333" w:rsidRDefault="008E1637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Liu et al., </w:t>
      </w:r>
      <w:hyperlink r:id="rId3" w:history="1">
        <w:r w:rsidRPr="00D95333">
          <w:rPr>
            <w:rStyle w:val="Hyperlink"/>
            <w:rFonts w:ascii="Arial" w:hAnsi="Arial" w:cs="Arial"/>
            <w:lang w:val="en-US"/>
          </w:rPr>
          <w:t>J. Infection 2020</w:t>
        </w:r>
      </w:hyperlink>
      <w:r w:rsidRPr="00D95333">
        <w:rPr>
          <w:rFonts w:ascii="Arial" w:hAnsi="Arial" w:cs="Arial"/>
          <w:lang w:val="en-US"/>
        </w:rPr>
        <w:t xml:space="preserve"> </w:t>
      </w:r>
    </w:p>
  </w:endnote>
  <w:endnote w:id="24">
    <w:p w:rsidR="008E1637" w:rsidRPr="00F50A10" w:rsidRDefault="008E1637" w:rsidP="00E64A2D">
      <w:pPr>
        <w:pStyle w:val="Endnotentext"/>
        <w:rPr>
          <w:rFonts w:ascii="Arial" w:hAnsi="Arial" w:cs="Arial"/>
        </w:rPr>
      </w:pPr>
      <w:r w:rsidRPr="00F50A10">
        <w:rPr>
          <w:rStyle w:val="Endnotenzeichen"/>
          <w:rFonts w:ascii="Arial" w:hAnsi="Arial" w:cs="Arial"/>
        </w:rPr>
        <w:endnoteRef/>
      </w:r>
      <w:r w:rsidRPr="00F50A10">
        <w:rPr>
          <w:rFonts w:ascii="Arial" w:hAnsi="Arial" w:cs="Arial"/>
        </w:rPr>
        <w:t xml:space="preserve"> Alexandersen et al. MedRxiv 2020</w:t>
      </w:r>
      <w:r w:rsidRPr="00F50A10">
        <w:rPr>
          <w:rFonts w:ascii="Arial" w:hAnsi="Arial" w:cs="Arial"/>
          <w:color w:val="000000"/>
        </w:rPr>
        <w:t xml:space="preserve">: </w:t>
      </w:r>
      <w:r w:rsidRPr="00F50A10">
        <w:rPr>
          <w:rFonts w:ascii="Arial" w:hAnsi="Arial" w:cs="Arial"/>
          <w:color w:val="0000FF"/>
        </w:rPr>
        <w:t>https://doi.org/10.1101/2020.06.01.20119750</w:t>
      </w:r>
    </w:p>
  </w:endnote>
  <w:endnote w:id="25">
    <w:p w:rsidR="008E1637" w:rsidRPr="00D95333" w:rsidRDefault="008E1637" w:rsidP="00E64A2D">
      <w:pPr>
        <w:pStyle w:val="NurText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50A10">
        <w:rPr>
          <w:rStyle w:val="Endnotenzeichen"/>
          <w:rFonts w:ascii="Arial" w:hAnsi="Arial" w:cs="Arial"/>
          <w:sz w:val="20"/>
          <w:szCs w:val="20"/>
        </w:rPr>
        <w:endnoteRef/>
      </w:r>
      <w:r w:rsidRPr="00D95333">
        <w:rPr>
          <w:rFonts w:ascii="Arial" w:hAnsi="Arial" w:cs="Arial"/>
          <w:sz w:val="20"/>
          <w:szCs w:val="20"/>
          <w:lang w:val="en-US"/>
        </w:rPr>
        <w:t xml:space="preserve"> Xiao et al., J Clin Virol. 2020.</w:t>
      </w:r>
      <w:r w:rsidRPr="00D95333">
        <w:rPr>
          <w:rFonts w:ascii="Arial" w:hAnsi="Arial" w:cs="Arial"/>
          <w:sz w:val="20"/>
          <w:szCs w:val="20"/>
          <w:lang w:val="en-US"/>
        </w:rPr>
        <w:br/>
        <w:t xml:space="preserve">https://www.sciencedirect.com/science/article/pii/S1386653220300883?via%3Dihub. </w:t>
      </w:r>
    </w:p>
  </w:endnote>
  <w:endnote w:id="26">
    <w:p w:rsidR="008E1637" w:rsidRPr="00D95333" w:rsidRDefault="008E1637" w:rsidP="00E64A2D">
      <w:pPr>
        <w:pStyle w:val="NurText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50A10">
        <w:rPr>
          <w:rStyle w:val="Endnotenzeichen"/>
          <w:rFonts w:ascii="Arial" w:hAnsi="Arial" w:cs="Arial"/>
          <w:sz w:val="20"/>
          <w:szCs w:val="20"/>
        </w:rPr>
        <w:endnoteRef/>
      </w:r>
      <w:r w:rsidRPr="00D95333">
        <w:rPr>
          <w:rFonts w:ascii="Arial" w:hAnsi="Arial" w:cs="Arial"/>
          <w:sz w:val="20"/>
          <w:szCs w:val="20"/>
          <w:lang w:val="en-US"/>
        </w:rPr>
        <w:t xml:space="preserve"> Lan et al. JAMA 2020. https://jamanetwork.com/journals/jama/fullarticle/2762452</w:t>
      </w:r>
    </w:p>
  </w:endnote>
  <w:endnote w:id="27">
    <w:p w:rsidR="008E1637" w:rsidRDefault="008E1637">
      <w:pPr>
        <w:pStyle w:val="Endnotentext"/>
        <w:rPr>
          <w:rFonts w:ascii="Arial" w:hAnsi="Arial" w:cs="Arial"/>
          <w:lang w:val="en-US"/>
        </w:rPr>
      </w:pPr>
      <w:r w:rsidRPr="00F50A10">
        <w:rPr>
          <w:rStyle w:val="Endnotenzeichen"/>
          <w:rFonts w:ascii="Arial" w:hAnsi="Arial" w:cs="Arial"/>
        </w:rPr>
        <w:endnoteRef/>
      </w:r>
      <w:r w:rsidRPr="00D95333">
        <w:rPr>
          <w:rFonts w:ascii="Arial" w:hAnsi="Arial" w:cs="Arial"/>
          <w:lang w:val="en-US"/>
        </w:rPr>
        <w:t xml:space="preserve"> </w:t>
      </w:r>
      <w:hyperlink r:id="rId4" w:history="1">
        <w:r w:rsidR="00D95333" w:rsidRPr="00444EFA">
          <w:rPr>
            <w:rStyle w:val="Hyperlink"/>
            <w:rFonts w:ascii="Arial" w:hAnsi="Arial" w:cs="Arial"/>
            <w:lang w:val="en-US"/>
          </w:rPr>
          <w:t>https://www.cdc.go.kr/board/board.es?mid=a30402000000&amp;bid=0030</w:t>
        </w:r>
      </w:hyperlink>
    </w:p>
    <w:p w:rsidR="00D95333" w:rsidRPr="00C81643" w:rsidRDefault="00D95333">
      <w:pPr>
        <w:pStyle w:val="Endnotentext"/>
        <w:rPr>
          <w:rFonts w:ascii="Arial" w:hAnsi="Arial" w:cs="Arial"/>
        </w:rPr>
      </w:pPr>
      <w:r w:rsidRPr="00D95333">
        <w:rPr>
          <w:rFonts w:ascii="Arial" w:hAnsi="Arial" w:cs="Arial"/>
          <w:vertAlign w:val="superscript"/>
        </w:rPr>
        <w:t>xxviii</w:t>
      </w:r>
      <w:r>
        <w:rPr>
          <w:rFonts w:ascii="Arial" w:hAnsi="Arial" w:cs="Arial"/>
        </w:rPr>
        <w:t xml:space="preserve"> </w:t>
      </w:r>
      <w:r w:rsidRPr="00C81643">
        <w:rPr>
          <w:rFonts w:ascii="Arial" w:hAnsi="Arial" w:cs="Arial"/>
        </w:rPr>
        <w:t xml:space="preserve">Wan et al. </w:t>
      </w:r>
      <w:r w:rsidR="00B3007E" w:rsidRPr="00B3007E">
        <w:rPr>
          <w:rFonts w:ascii="Arial" w:hAnsi="Arial" w:cs="Arial"/>
          <w:lang w:val="en-US"/>
        </w:rPr>
        <w:t xml:space="preserve">Molecular mechanism for antibody-dependent enhancement of coronavirus entry. </w:t>
      </w:r>
      <w:bookmarkStart w:id="0" w:name="_GoBack"/>
      <w:bookmarkEnd w:id="0"/>
      <w:r w:rsidRPr="00C81643">
        <w:rPr>
          <w:rFonts w:ascii="Arial" w:hAnsi="Arial" w:cs="Arial"/>
        </w:rPr>
        <w:t xml:space="preserve">J. Virol </w:t>
      </w:r>
      <w:r w:rsidR="002144D4" w:rsidRPr="00C81643">
        <w:rPr>
          <w:rFonts w:ascii="Arial" w:hAnsi="Arial" w:cs="Arial"/>
        </w:rPr>
        <w:t xml:space="preserve">2020; </w:t>
      </w:r>
      <w:r w:rsidRPr="00C81643">
        <w:rPr>
          <w:rFonts w:ascii="Arial" w:hAnsi="Arial" w:cs="Arial"/>
        </w:rPr>
        <w:t>94: e02015-19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2134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58FA" w:rsidRPr="00F658FA" w:rsidRDefault="00F658FA">
        <w:pPr>
          <w:pStyle w:val="Fuzeile"/>
          <w:jc w:val="right"/>
          <w:rPr>
            <w:rFonts w:ascii="Arial" w:hAnsi="Arial" w:cs="Arial"/>
          </w:rPr>
        </w:pPr>
        <w:r w:rsidRPr="00F658FA">
          <w:rPr>
            <w:rFonts w:ascii="Arial" w:hAnsi="Arial" w:cs="Arial"/>
          </w:rPr>
          <w:fldChar w:fldCharType="begin"/>
        </w:r>
        <w:r w:rsidRPr="00F658FA">
          <w:rPr>
            <w:rFonts w:ascii="Arial" w:hAnsi="Arial" w:cs="Arial"/>
          </w:rPr>
          <w:instrText>PAGE   \* MERGEFORMAT</w:instrText>
        </w:r>
        <w:r w:rsidRPr="00F658FA">
          <w:rPr>
            <w:rFonts w:ascii="Arial" w:hAnsi="Arial" w:cs="Arial"/>
          </w:rPr>
          <w:fldChar w:fldCharType="separate"/>
        </w:r>
        <w:r w:rsidR="00B3007E">
          <w:rPr>
            <w:rFonts w:ascii="Arial" w:hAnsi="Arial" w:cs="Arial"/>
            <w:noProof/>
          </w:rPr>
          <w:t>4</w:t>
        </w:r>
        <w:r w:rsidRPr="00F658FA">
          <w:rPr>
            <w:rFonts w:ascii="Arial" w:hAnsi="Arial" w:cs="Arial"/>
          </w:rPr>
          <w:fldChar w:fldCharType="end"/>
        </w:r>
      </w:p>
    </w:sdtContent>
  </w:sdt>
  <w:p w:rsidR="00F658FA" w:rsidRDefault="00F658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3D" w:rsidRDefault="00BD143D" w:rsidP="00387F3A">
      <w:pPr>
        <w:spacing w:after="0" w:line="240" w:lineRule="auto"/>
      </w:pPr>
      <w:r>
        <w:separator/>
      </w:r>
    </w:p>
  </w:footnote>
  <w:footnote w:type="continuationSeparator" w:id="0">
    <w:p w:rsidR="00BD143D" w:rsidRDefault="00BD143D" w:rsidP="00387F3A">
      <w:pPr>
        <w:spacing w:after="0" w:line="240" w:lineRule="auto"/>
      </w:pPr>
      <w:r>
        <w:continuationSeparator/>
      </w:r>
    </w:p>
  </w:footnote>
  <w:footnote w:id="1">
    <w:p w:rsidR="002E425C" w:rsidRPr="00A267AB" w:rsidRDefault="002E425C" w:rsidP="002E425C">
      <w:pPr>
        <w:pStyle w:val="Funotentext"/>
        <w:jc w:val="both"/>
        <w:rPr>
          <w:rFonts w:ascii="Arial" w:hAnsi="Arial" w:cs="Arial"/>
          <w:i/>
          <w:sz w:val="18"/>
          <w:szCs w:val="18"/>
        </w:rPr>
      </w:pPr>
      <w:r w:rsidRPr="00A267AB">
        <w:rPr>
          <w:rStyle w:val="Funotenzeichen"/>
          <w:rFonts w:ascii="Arial" w:hAnsi="Arial" w:cs="Arial"/>
          <w:i/>
          <w:szCs w:val="18"/>
        </w:rPr>
        <w:footnoteRef/>
      </w:r>
      <w:r w:rsidRPr="00A267AB">
        <w:rPr>
          <w:rFonts w:ascii="Arial" w:hAnsi="Arial" w:cs="Arial"/>
          <w:i/>
          <w:szCs w:val="18"/>
        </w:rPr>
        <w:t xml:space="preserve"> </w:t>
      </w:r>
      <w:r w:rsidRPr="00A267AB">
        <w:rPr>
          <w:rFonts w:ascii="Arial" w:hAnsi="Arial" w:cs="Arial"/>
          <w:i/>
          <w:color w:val="000000" w:themeColor="text1"/>
          <w:szCs w:val="18"/>
        </w:rPr>
        <w:t>Bei schweren Verläufen ist erfolgreiche Virusanzucht im Schnitt länger möglich, bis maximal 20 d nach Symptombeginn (</w:t>
      </w:r>
      <w:hyperlink r:id="rId1" w:history="1">
        <w:r w:rsidRPr="00A267AB">
          <w:rPr>
            <w:rStyle w:val="Hyperlink"/>
            <w:rFonts w:ascii="Arial" w:hAnsi="Arial" w:cs="Arial"/>
            <w:i/>
            <w:color w:val="595959" w:themeColor="text1" w:themeTint="A6"/>
            <w:szCs w:val="18"/>
          </w:rPr>
          <w:t>van Kampen et al. medRxiv 2020</w:t>
        </w:r>
      </w:hyperlink>
      <w:r w:rsidRPr="00A267AB">
        <w:rPr>
          <w:rFonts w:ascii="Arial" w:hAnsi="Arial" w:cs="Arial"/>
          <w:i/>
          <w:color w:val="000000" w:themeColor="text1"/>
          <w:szCs w:val="18"/>
        </w:rPr>
        <w:t>); für alte Menschen könnte eventuell längere Infektiosität angenommen werden, da positive RT-PCR-Ergebnisse bei ihnen länger anhalten (</w:t>
      </w:r>
      <w:hyperlink r:id="rId2" w:history="1">
        <w:r w:rsidRPr="00A267AB">
          <w:rPr>
            <w:rStyle w:val="Hyperlink"/>
            <w:rFonts w:ascii="Arial" w:hAnsi="Arial" w:cs="Arial"/>
            <w:i/>
            <w:color w:val="595959" w:themeColor="text1" w:themeTint="A6"/>
            <w:szCs w:val="18"/>
          </w:rPr>
          <w:t>Xiao et al. CID 2020</w:t>
        </w:r>
      </w:hyperlink>
      <w:r w:rsidRPr="00A267AB">
        <w:rPr>
          <w:rFonts w:ascii="Arial" w:hAnsi="Arial" w:cs="Arial"/>
          <w:i/>
          <w:color w:val="000000" w:themeColor="text1"/>
          <w:szCs w:val="18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20" w:rsidRPr="00687C20" w:rsidRDefault="00687C20">
    <w:pPr>
      <w:pStyle w:val="Kopfzeile"/>
      <w:rPr>
        <w:rFonts w:ascii="Arial" w:hAnsi="Arial" w:cs="Arial"/>
        <w:i/>
        <w:sz w:val="20"/>
      </w:rPr>
    </w:pPr>
    <w:r w:rsidRPr="00687C20">
      <w:rPr>
        <w:rFonts w:ascii="Arial" w:hAnsi="Arial" w:cs="Arial"/>
        <w:i/>
        <w:sz w:val="20"/>
      </w:rPr>
      <w:t xml:space="preserve">Aufgabe ID 1569 </w:t>
    </w:r>
    <w:r>
      <w:rPr>
        <w:rFonts w:ascii="Arial" w:hAnsi="Arial" w:cs="Arial"/>
        <w:i/>
        <w:sz w:val="20"/>
      </w:rPr>
      <w:t>–</w:t>
    </w:r>
    <w:r w:rsidRPr="00687C20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Reinfektionen mit SARS-CoV-2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5582"/>
    <w:multiLevelType w:val="hybridMultilevel"/>
    <w:tmpl w:val="974241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7"/>
    <w:rsid w:val="000144F2"/>
    <w:rsid w:val="00035FAC"/>
    <w:rsid w:val="00045A48"/>
    <w:rsid w:val="0009081D"/>
    <w:rsid w:val="001C3695"/>
    <w:rsid w:val="001F3D47"/>
    <w:rsid w:val="00205E6D"/>
    <w:rsid w:val="002144D4"/>
    <w:rsid w:val="00295933"/>
    <w:rsid w:val="002E425C"/>
    <w:rsid w:val="002F3008"/>
    <w:rsid w:val="0035722D"/>
    <w:rsid w:val="00363A51"/>
    <w:rsid w:val="00387F3A"/>
    <w:rsid w:val="00426A27"/>
    <w:rsid w:val="004363BC"/>
    <w:rsid w:val="0049649D"/>
    <w:rsid w:val="00496966"/>
    <w:rsid w:val="00535D80"/>
    <w:rsid w:val="005C4F8A"/>
    <w:rsid w:val="00675B10"/>
    <w:rsid w:val="00687C20"/>
    <w:rsid w:val="007200CB"/>
    <w:rsid w:val="00721711"/>
    <w:rsid w:val="0074796F"/>
    <w:rsid w:val="00771E77"/>
    <w:rsid w:val="00783E2E"/>
    <w:rsid w:val="007C25F9"/>
    <w:rsid w:val="00885DF1"/>
    <w:rsid w:val="0089170F"/>
    <w:rsid w:val="008A374B"/>
    <w:rsid w:val="008E1637"/>
    <w:rsid w:val="00931BCC"/>
    <w:rsid w:val="00946E10"/>
    <w:rsid w:val="009649E8"/>
    <w:rsid w:val="00994560"/>
    <w:rsid w:val="009F6DD9"/>
    <w:rsid w:val="00A267AB"/>
    <w:rsid w:val="00A96A8E"/>
    <w:rsid w:val="00AE7646"/>
    <w:rsid w:val="00B3007E"/>
    <w:rsid w:val="00B479D0"/>
    <w:rsid w:val="00B81A8E"/>
    <w:rsid w:val="00BA57C0"/>
    <w:rsid w:val="00BC3D0F"/>
    <w:rsid w:val="00BD143D"/>
    <w:rsid w:val="00BE0452"/>
    <w:rsid w:val="00BE4DEB"/>
    <w:rsid w:val="00BF32E3"/>
    <w:rsid w:val="00C648AC"/>
    <w:rsid w:val="00C8079C"/>
    <w:rsid w:val="00C81643"/>
    <w:rsid w:val="00CC45EF"/>
    <w:rsid w:val="00CF3BCD"/>
    <w:rsid w:val="00D05312"/>
    <w:rsid w:val="00D43BD5"/>
    <w:rsid w:val="00D71502"/>
    <w:rsid w:val="00D8429B"/>
    <w:rsid w:val="00D85725"/>
    <w:rsid w:val="00D87A4B"/>
    <w:rsid w:val="00D95333"/>
    <w:rsid w:val="00DC7D46"/>
    <w:rsid w:val="00DC7E4F"/>
    <w:rsid w:val="00DF4A00"/>
    <w:rsid w:val="00E20254"/>
    <w:rsid w:val="00E257B6"/>
    <w:rsid w:val="00E64A2D"/>
    <w:rsid w:val="00EA21F6"/>
    <w:rsid w:val="00EB2F5E"/>
    <w:rsid w:val="00F02CE5"/>
    <w:rsid w:val="00F50A10"/>
    <w:rsid w:val="00F658FA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426A2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26A27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9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9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9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9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93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387F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87F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7F3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946E1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946E1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46E1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F32E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E764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8FA"/>
  </w:style>
  <w:style w:type="paragraph" w:styleId="Fuzeile">
    <w:name w:val="footer"/>
    <w:basedOn w:val="Standard"/>
    <w:link w:val="FuzeileZchn"/>
    <w:uiPriority w:val="99"/>
    <w:unhideWhenUsed/>
    <w:rsid w:val="00F6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426A2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26A27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9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9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9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9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93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387F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87F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7F3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946E1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946E1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46E1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F32E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E764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8FA"/>
  </w:style>
  <w:style w:type="paragraph" w:styleId="Fuzeile">
    <w:name w:val="footer"/>
    <w:basedOn w:val="Standard"/>
    <w:link w:val="FuzeileZchn"/>
    <w:uiPriority w:val="99"/>
    <w:unhideWhenUsed/>
    <w:rsid w:val="00F6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728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iencedirect.com/science/article/pii/S0163445320301900?via%3Dihub" TargetMode="External"/><Relationship Id="rId2" Type="http://schemas.openxmlformats.org/officeDocument/2006/relationships/hyperlink" Target="https://science.sciencemag.org/content/early/2020/05/19/science.abc4776" TargetMode="External"/><Relationship Id="rId1" Type="http://schemas.openxmlformats.org/officeDocument/2006/relationships/hyperlink" Target="https://onlinelibrary.wiley.com/doi/full/10.1111/j.1440-1843.2006.00783.x" TargetMode="External"/><Relationship Id="rId4" Type="http://schemas.openxmlformats.org/officeDocument/2006/relationships/hyperlink" Target="https://www.cdc.go.kr/board/board.es?mid=a30402000000&amp;bid=003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cbi.nlm.nih.gov/pmc/articles/PMC7188124/pdf/ciaa460.pdf" TargetMode="External"/><Relationship Id="rId1" Type="http://schemas.openxmlformats.org/officeDocument/2006/relationships/hyperlink" Target="https://www.medrxiv.org/content/10.1101/2020.06.08.20125310v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2467-B716-4E5E-A8AB-661E6D1C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Oh, Djin-Ye</dc:creator>
  <cp:lastModifiedBy>Ralf Dürrwald</cp:lastModifiedBy>
  <cp:revision>2</cp:revision>
  <dcterms:created xsi:type="dcterms:W3CDTF">2020-08-05T07:41:00Z</dcterms:created>
  <dcterms:modified xsi:type="dcterms:W3CDTF">2020-08-05T07:41:00Z</dcterms:modified>
</cp:coreProperties>
</file>