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02.10.2020,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FG24, AL1, FG32, FG33,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>
            <w:r>
              <w:t>FG 37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Änderung nötig?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(Positiver) Effekt der </w:t>
            </w:r>
            <w:proofErr w:type="spellStart"/>
            <w:r>
              <w:t>Coronamaßnahmen</w:t>
            </w:r>
            <w:proofErr w:type="spellEnd"/>
            <w:r>
              <w:t xml:space="preserve"> auf übertragbare Erkrankungen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IFG Anfrage des NDR: </w:t>
            </w:r>
            <w:proofErr w:type="spellStart"/>
            <w:r>
              <w:t>Nowcast</w:t>
            </w:r>
            <w:proofErr w:type="spellEnd"/>
            <w:r>
              <w:t xml:space="preserve"> der BL – grundsätzliche Diskussion: online stellen vs. gezielt beantworten? 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  <w:p>
            <w:r>
              <w:t>Leitung</w:t>
            </w:r>
          </w:p>
          <w:p/>
          <w:p>
            <w:r>
              <w:t>FG12</w:t>
            </w:r>
          </w:p>
          <w:p/>
          <w:p>
            <w:r>
              <w:t>FG38, 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Aktualisierung Steckbrief?</w:t>
            </w:r>
          </w:p>
        </w:tc>
        <w:tc>
          <w:tcPr>
            <w:tcW w:w="1809" w:type="dxa"/>
          </w:tcPr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Update Klinisches Management</w:t>
            </w: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Prozess </w:t>
            </w:r>
            <w:proofErr w:type="spellStart"/>
            <w:r>
              <w:t>Aussteigekarten</w:t>
            </w:r>
            <w:proofErr w:type="spellEnd"/>
            <w:r>
              <w:t xml:space="preserve"> und Verordnungen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Erreichbarkeiten und Bearbeitungszeiten des Lagezentrums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05.10.2020, 13:00-15:00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0129"/>
    <w:multiLevelType w:val="hybridMultilevel"/>
    <w:tmpl w:val="F59AB7E0"/>
    <w:lvl w:ilvl="0" w:tplc="7C0690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611E1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24841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2FE23-B641-4884-80CA-C6BC040B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39</cp:revision>
  <cp:lastPrinted>2020-03-13T12:00:00Z</cp:lastPrinted>
  <dcterms:created xsi:type="dcterms:W3CDTF">2020-09-23T10:39:00Z</dcterms:created>
  <dcterms:modified xsi:type="dcterms:W3CDTF">2022-12-22T12:41:00Z</dcterms:modified>
</cp:coreProperties>
</file>