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02.10.2020,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Viterokonferenz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 (Moderation)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Leitung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Lothar Wieler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Oh Dschin-Je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24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Claudia Houareau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32/38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Ute Rexroth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Maria an der Heiden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IBBS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Claudia Schulz-Weidhaas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INIG</w:t>
      </w:r>
    </w:p>
    <w:p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Luisa Denkel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P1</w:t>
      </w:r>
    </w:p>
    <w:p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Esther-Maria Antao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Susanne Glasmacher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0"/>
          <w:szCs w:val="20"/>
        </w:rPr>
        <w:t>Johanna Hanefeld</w:t>
      </w:r>
      <w:bookmarkStart w:id="0" w:name="_GoBack"/>
      <w:bookmarkEnd w:id="0"/>
      <w:r>
        <w:rPr>
          <w:sz w:val="22"/>
        </w:rPr>
        <w:br w:type="page"/>
      </w:r>
    </w:p>
    <w:p>
      <w:pPr>
        <w:spacing w:after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Style1"/>
              <w:spacing w:before="0"/>
            </w:pPr>
            <w:r>
              <w:t>Datenstand 01.10.20</w:t>
            </w:r>
          </w:p>
          <w:p>
            <w:pPr>
              <w:pStyle w:val="Style1"/>
              <w:spacing w:before="0"/>
            </w:pPr>
            <w:r>
              <w:t>Top 10 unverändert im Vergleich zum Mittwoch, nur zwei Länder haben den Rang getauscht;</w:t>
            </w:r>
          </w:p>
          <w:p>
            <w:pPr>
              <w:pStyle w:val="Style1"/>
              <w:spacing w:before="0" w:after="0"/>
            </w:pPr>
            <w:r>
              <w:t>Anscheinend stabilisieren sich auf hohem Niveau die neuen Fälle auf dem amerikanischen und asiatischem Kontinenten.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Heute 55 Länder mit 7-T.-Inz. &gt; 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im Vergleich zum Mittwoch sind es heute 5 Länder mehr;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Afrika: steiler Anstieg in Tunesien (50,74)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Europa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gelistet: Slowakei und Irland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Studie</w:t>
            </w:r>
            <w:proofErr w:type="spellEnd"/>
            <w:r>
              <w:rPr>
                <w:sz w:val="22"/>
                <w:szCs w:val="22"/>
                <w:lang w:val="en-US"/>
              </w:rPr>
              <w:t>: „Seroprevalence of SARS-CoV-2 antibodies in people with an acute loss in their sense of smell and/or taste in a community-based population in London, UK: An observational study“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Gestern in </w:t>
            </w:r>
            <w:proofErr w:type="spellStart"/>
            <w:r>
              <w:rPr>
                <w:sz w:val="22"/>
                <w:szCs w:val="22"/>
              </w:rPr>
              <w:t>PlosMed</w:t>
            </w:r>
            <w:proofErr w:type="spellEnd"/>
            <w:r>
              <w:rPr>
                <w:sz w:val="22"/>
                <w:szCs w:val="22"/>
              </w:rPr>
              <w:t xml:space="preserve"> erschienen; in GB durchgeführt;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 der Pat. mit akutem Geschmacks- und Geruchsverlust wurden pos. auf SARS-CoV-2 getestet;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von ihnen hatten kein weiteres Symptom (bedeutet in Studie kein Husten oder Fieber);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 mit Geruchsverlust waren dreimal bzw. mit Geruchs- und Geschmacksverlust viermal häufiger seropositiv als TN mit akutem Geschmacksverlust;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Vorsicht: Hier wurden leichte Erkältungssymptome (Verstopfte Nase) als kein Symptom bewertet.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Zusammenfassung: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Hohes Niveau Anzahl der Neuinfektionen in Amerika und Asien, aber rückläufiger Trend erkennbar;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sehr aktives Infektionsgeschehen in vielen Ländern Europas (Spanien, Frankreich, GB, Tschechien, Niederlande, Slowakei; Polen)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POTUS und FLOTUS sind positiv auf COVID-19 getestet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häufig ist Geruchsverlust bei anderen </w:t>
            </w:r>
            <w:proofErr w:type="spellStart"/>
            <w:r>
              <w:rPr>
                <w:sz w:val="22"/>
                <w:szCs w:val="22"/>
              </w:rPr>
              <w:t>Viruserkr</w:t>
            </w:r>
            <w:proofErr w:type="spellEnd"/>
            <w:r>
              <w:rPr>
                <w:sz w:val="22"/>
                <w:szCs w:val="22"/>
              </w:rPr>
              <w:t xml:space="preserve">., bzw. bei COVID?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Geruchsverlust ohne verstopfte Nase ein sehr spezifisches Symptom f. COVID-19, liegt aber nicht bei allen Infizierten vor;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Vorsicht bei GB Studie: Halten sich sehr an WHO </w:t>
            </w:r>
            <w:proofErr w:type="spellStart"/>
            <w:r>
              <w:rPr>
                <w:sz w:val="22"/>
                <w:szCs w:val="22"/>
              </w:rPr>
              <w:t>Def</w:t>
            </w:r>
            <w:proofErr w:type="spellEnd"/>
            <w:r>
              <w:rPr>
                <w:sz w:val="22"/>
                <w:szCs w:val="22"/>
              </w:rPr>
              <w:t>. Hier sind leichte Erkältungssymptome gleich keine Symptome interpretiert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+2.673 neue Fälle, dieser Anstieg im R-Wert noch nicht so deutlich; auch nicht bei ITS im Vergleich zum Vortag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v.a. in Bremen und Berlin: Auf Nachfrage in beiden Landesstellen wird ein diffuses Geschehen genannt; kein Ausbruchsgeschehen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in NRW und HH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Bundesdurchschnitt wird ein leichter Anstieg fortgesetzt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LK haben über 25-50 Fälle/100T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noch 5 LK, in denen keine Fälle übermittelt wurden;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spezifisches Ausbruchsgeschehen in Hamm und SK Berlin Mitte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Anz. Der SARS-CoV-2 Testungen (Stand 30.09.2020)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Seit Beginn der Testungen in </w:t>
            </w:r>
            <w:proofErr w:type="spellStart"/>
            <w:r>
              <w:rPr>
                <w:sz w:val="22"/>
                <w:szCs w:val="22"/>
              </w:rPr>
              <w:t>Dtl</w:t>
            </w:r>
            <w:proofErr w:type="spellEnd"/>
            <w:r>
              <w:rPr>
                <w:sz w:val="22"/>
                <w:szCs w:val="22"/>
              </w:rPr>
              <w:t>. bis einschl. KW39/2020 sind 16.999.253 Labortests erfasst, davon wurden 328.566 pos. auf SARS-CoV-2 getestet.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Sehen erstmal keinen Anstieg, mehr Leute getestet, pos. Rate leicht angestiegen auf 1,22%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 (Stand 30.09.2020)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39 gaben 46 Labore einen Rückstau von 15.983 abzuarbeitenden Proben an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Labore nannten Lieferschwierigkeiten für Reagenzien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Mortalitätssurveillance</w:t>
            </w:r>
            <w:proofErr w:type="spellEnd"/>
            <w:r>
              <w:rPr>
                <w:sz w:val="22"/>
                <w:szCs w:val="22"/>
              </w:rPr>
              <w:t xml:space="preserve"> diese bezieht sich auf Datenstand Ende August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zurzeit keine Übersterblichkeit erkennbar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 zeigt eine kleine Zunahme im Vergleich zu den letzten Monaten, Anfrage beim DIVI Team zur besseren Darstellung ist bereits erfolgt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Berlin ist eigentlich eine sog. Einheitsgemeinde und somit ein LK; Mecklenburg-Vorpommern versteht Berlin auch als Einheitsgemeinde; so bald eine 7-T.Inz./100.000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von über 30 Fällen erreicht ist, gibt es keine Beherbergung für Touristen aus Berlin.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STAKOB berichtet auch Zunahme der ITS-Belegung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INIG (Luisa Denkel)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36(Silke 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32 (Michaela </w:t>
            </w:r>
            <w:r>
              <w:rPr>
                <w:sz w:val="22"/>
                <w:szCs w:val="22"/>
              </w:rPr>
              <w:lastRenderedPageBreak/>
              <w:t xml:space="preserve">Diercke)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(Ute 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FG37 (Tim Eckmanns)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 Projekte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 im Kosovo kommt zum Ende; Fr. Hanefeld fährt zum Projektabschluss am Montag in den Kosovo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2 Wo. intensivem Austausch, Unterstützung und Trainings im Labor- aber auch im klinischen Bereich mit breiter Unterstützung von BW, STAKOB und vielen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Mission ab Mitte Oktober ist Namibia: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twinning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>; speziell Unterstützung zur COVID-19 Situation; Probleme v.a. im Bereich Klinik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Neue Koordinatorin der globalen </w:t>
            </w:r>
            <w:proofErr w:type="spellStart"/>
            <w:r>
              <w:rPr>
                <w:sz w:val="22"/>
                <w:szCs w:val="22"/>
              </w:rPr>
              <w:t>SeroStudien</w:t>
            </w:r>
            <w:proofErr w:type="spellEnd"/>
            <w:r>
              <w:rPr>
                <w:sz w:val="22"/>
                <w:szCs w:val="22"/>
              </w:rPr>
              <w:t xml:space="preserve">: Willkommen Frau Sophie Müller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 ist ein gemeinsamer RKI Ansatz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Charité hat viel im lateinamerikanischen Raum unterstützt. Jetzt Treffens mit Auslandsvertretungen der Länder in Berlin zur </w:t>
            </w:r>
            <w:r>
              <w:rPr>
                <w:sz w:val="22"/>
                <w:szCs w:val="22"/>
              </w:rPr>
              <w:lastRenderedPageBreak/>
              <w:t>Nacharbeitung/Nachbereiten Einsätze im Bereich Diagnostik, sehr interessant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ZIGL (Johanna Hanefeld)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Update Risikobewertung anschauen: Ob wir immer Lüften (sollte neben AHA präsenter sein) und ob CWA (BMG verwendet A für App) dabei stehen sollte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Letzte Rapid Risk </w:t>
            </w:r>
            <w:proofErr w:type="spellStart"/>
            <w:r>
              <w:rPr>
                <w:sz w:val="22"/>
                <w:szCs w:val="22"/>
              </w:rPr>
              <w:t>Assessemnt</w:t>
            </w:r>
            <w:proofErr w:type="spellEnd"/>
            <w:r>
              <w:rPr>
                <w:sz w:val="22"/>
                <w:szCs w:val="22"/>
              </w:rPr>
              <w:t xml:space="preserve"> des ECDC zeigt Diskrepanz zu deutscher Einschätzung, dies sollten wir erklären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Schaade: Abkürzungen wie das BMG verwenden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Frau Buda macht einen Formulierungsvorschlag bis Montag (05.10.20), um Missverständnisse wegen der Diskrepanz zw. ECDC RRA und unserer Einschätzung vorzubeugen/ aufzuklären.</w:t>
            </w:r>
          </w:p>
          <w:p>
            <w:pPr>
              <w:ind w:left="2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7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Update Punkte; trotzdem pro Tag 30-40 Anfrage durch Presse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Bundeswehr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pStyle w:val="Listenabsatz"/>
              <w:ind w:left="453"/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Quarantäne-Bedingung für Kinder: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Im Namen von Hr. Wieler Bericht über Gespräch: 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Berichtet wurde: GÄ ordnen bei Kindern Quarantäne unter extremen Maßnahmen an; Kinder sollen 14 Tage isoliert allein im Zimmer verbleiben und nur zu den Mahlzeiten Kontakt mit den Familien haben; 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Daher Beschwerden durch Eltern; 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Können wir für Kinder unter 10-12 Jahren klarstellen, wie Quarantäne f. Kinder gemeint sind?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Zustimmung von Teilnehmern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IBBS und BZgA hatten Merkblätter zur Quarantäne erstellt, daher könnte auf Basis dieser ein Merkblatt zur Kinder-Quarantäne entwickelt werden.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</w:t>
            </w:r>
            <w:proofErr w:type="spellEnd"/>
            <w:r>
              <w:rPr>
                <w:i/>
                <w:sz w:val="22"/>
              </w:rPr>
              <w:t xml:space="preserve"> Do: IBBS (FF) unter Mitarbeit von FG36 erhält Auftrag ein Merkblatt Kinder-Quarantäne zu entwickeln. 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b/>
                <w:sz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b/>
                <w:sz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RKI-intern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Pressemeldung besteht in Berlin MNS Pflicht auch im Arbeitsumfeld, aber nicht beim Sitzen am Arbeitsplatz (wie schon die Regelung in Restaurants); Wird ab Montag im Haus umgesetzt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Personalrat schlägt nun doch das Aufstellen von Desinfektionsständer in den Liegenschaften vor;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Kontaktübertragung geringe Rolle spielt sprechen sich in einer Handabstimmung die Mehrheit gegen das Aufstellen der Desinfektionsständer aus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Neues Testkriterien-Papier: Für welche Tests ist dies gültig? Gilt nur für PCR Tests, da einzigen validierten Tests, solange Antigen noch nicht validiert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(Positiver) Effekt der </w:t>
            </w:r>
            <w:proofErr w:type="spellStart"/>
            <w:r>
              <w:rPr>
                <w:sz w:val="22"/>
                <w:szCs w:val="22"/>
              </w:rPr>
              <w:t>Coronamaßnahmen</w:t>
            </w:r>
            <w:proofErr w:type="spellEnd"/>
            <w:r>
              <w:rPr>
                <w:sz w:val="22"/>
                <w:szCs w:val="22"/>
              </w:rPr>
              <w:t xml:space="preserve"> auf übertragbare Erkrankungen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Rexroth und Team bearbeiten das Thema bereits. Herr Wieler ist informiert. Das Thema wird demnächst vorgestellt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Interpretation erweist sich als schwierig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 Absprache mit FG33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Frau Mankertz </w:t>
            </w:r>
            <w:proofErr w:type="spellStart"/>
            <w:r>
              <w:rPr>
                <w:sz w:val="22"/>
                <w:szCs w:val="22"/>
              </w:rPr>
              <w:t>ziegt</w:t>
            </w:r>
            <w:proofErr w:type="spellEnd"/>
            <w:r>
              <w:rPr>
                <w:sz w:val="22"/>
                <w:szCs w:val="22"/>
              </w:rPr>
              <w:t xml:space="preserve"> sich von der FF zurück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IFG Anfrage des NDR: </w:t>
            </w:r>
            <w:proofErr w:type="spellStart"/>
            <w:r>
              <w:t>Nowcast</w:t>
            </w:r>
            <w:proofErr w:type="spellEnd"/>
            <w:r>
              <w:t xml:space="preserve"> der BL – grundsätzliche Diskussion: online stellen vs. gezielt beantworten?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Berichte zum </w:t>
            </w:r>
            <w:proofErr w:type="spellStart"/>
            <w:r>
              <w:rPr>
                <w:sz w:val="22"/>
                <w:szCs w:val="22"/>
              </w:rPr>
              <w:t>Nowcast</w:t>
            </w:r>
            <w:proofErr w:type="spellEnd"/>
            <w:r>
              <w:rPr>
                <w:sz w:val="22"/>
                <w:szCs w:val="22"/>
              </w:rPr>
              <w:t xml:space="preserve"> an BL sind rechtlich nicht als schützenswert eingestuft. Wird dem NDR gegeben, online stellen könnte noch mehr Nachfragen provozieren;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Rechtseinschätzung betrifft wahrscheinlich auch weitere Berichte ans BMG, wie z.B. zum </w:t>
            </w:r>
            <w:proofErr w:type="spellStart"/>
            <w:r>
              <w:rPr>
                <w:sz w:val="22"/>
                <w:szCs w:val="22"/>
              </w:rPr>
              <w:t>Kapazitätenmonitoring</w:t>
            </w:r>
            <w:proofErr w:type="spellEnd"/>
            <w:r>
              <w:rPr>
                <w:sz w:val="22"/>
                <w:szCs w:val="22"/>
              </w:rPr>
              <w:t>, Ausbüchen als auch DIVI-Update;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diese Rechtseinschätzung bei allen Berichten im Hinterkopf behalten, dass diese später durch IFG Anfragen herausgegeben werden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an der Heiden hat Anfragen zum Veröffentlichen des Codes vom R-Wert und vom </w:t>
            </w:r>
            <w:proofErr w:type="spellStart"/>
            <w:r>
              <w:rPr>
                <w:sz w:val="22"/>
                <w:szCs w:val="22"/>
              </w:rPr>
              <w:t>Nowcasting</w:t>
            </w:r>
            <w:proofErr w:type="spellEnd"/>
            <w:r>
              <w:rPr>
                <w:sz w:val="22"/>
                <w:szCs w:val="22"/>
              </w:rPr>
              <w:t>. Überlegung diesen online zu stellen;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bedenken, dass der Code/Script unveröffentlichte Variablen beinhaltet. Diese würden dann nach der Veröffentlichung auch angefragt werden;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 (Lars Schaade)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(Silke 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(Lars Schaade)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 (Lars Schaade)/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(Stefan 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FG12 (Annette Mankertz)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FG38/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Impfen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zur Diskussion mit den BL zum Kauf bzw. Einsatz von Influenzaimpfstoffen: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 hat 6 Mill. Impfstoffdosen eingekauft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Beinhaltet auch 500.00 Impfstoffdosen von dem Sanofi Hochleistungsimpfstoff (</w:t>
            </w:r>
            <w:proofErr w:type="spellStart"/>
            <w:r>
              <w:rPr>
                <w:sz w:val="22"/>
                <w:szCs w:val="22"/>
              </w:rPr>
              <w:t>Efluelda</w:t>
            </w:r>
            <w:proofErr w:type="spellEnd"/>
            <w:r>
              <w:rPr>
                <w:sz w:val="22"/>
                <w:szCs w:val="22"/>
              </w:rPr>
              <w:t>); dieser 10-30% effektiver als bisherige auf dem Markt; Dieser wird eher in Altenheime eingesetzt, steht erst im Nov. zur Verfügung;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Erfassung der Covid-19 Impfquoten: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Anfang der Woche Telefonat zur Impfquoten-Erfassung mit BMG: Diese Erfassung ist nationaler Impfstandard. </w:t>
            </w:r>
            <w:r>
              <w:rPr>
                <w:sz w:val="22"/>
                <w:szCs w:val="22"/>
              </w:rPr>
              <w:lastRenderedPageBreak/>
              <w:t xml:space="preserve">Wir müssen wissen wer mit welchem Impfstoff geimpft wird.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Geplant sind vom BMG bisher 3 parallele Stand-Alone-Systeme: Dazu gehört Impfquotenerfassung durch Impfzentren, App des PEIs zur Erfassung von Nebenwirkungen;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Falls die Impfquoten-Erfassung ans RKI vom BMG gegeben werden, weil wir durch ÖGD Kontaktstelle viele neue Stellen haben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Mehr Infos am BMG als bei uns, daher erfolgt mittlerweile ein direkter Austausch mit den Herstellern, z.B. mit </w:t>
            </w:r>
            <w:proofErr w:type="spellStart"/>
            <w:r>
              <w:rPr>
                <w:sz w:val="22"/>
                <w:szCs w:val="22"/>
              </w:rPr>
              <w:t>biontec</w:t>
            </w:r>
            <w:proofErr w:type="spellEnd"/>
            <w:r>
              <w:rPr>
                <w:sz w:val="22"/>
                <w:szCs w:val="22"/>
              </w:rPr>
              <w:t>; dieser wahrscheinlich erster Markteintritt schon über 33.000 Personen geimpft: Nebenwirkung Kopfschmerzen, ab 01.12.2020 stehen die Chargen bereit, wie viele Impfstellen braucht man? Impfstoff gekauft, aber noch nicht die Lösungsmittel dafür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Problem: Wir brauchen eine vollständige/zentrale gut aufgestellte Erfassung der Impfquoten. Aber unsere Personalressourcen lassen dies nicht zu.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 Alternative nennt das BMG eine Impfquoten-Erfassung bei den KVen;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im Mai Entwurf beim BMG zur Erfassung eingereicht und jetzt noch keine Entscheidung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Prio</w:t>
            </w:r>
            <w:proofErr w:type="spellEnd"/>
            <w:r>
              <w:rPr>
                <w:sz w:val="22"/>
                <w:szCs w:val="22"/>
              </w:rPr>
              <w:t xml:space="preserve"> ist: Bearbeiten, was wir als bestehende Systeme haben; Als Beispiel: Bisher keine Mittelverlängerung für DEMIS; die Mittel laufen zum 01.01.2021 aus;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an Hr. Wichmann direkt mit KVen dazu sprechen, denn wir brauch die Erfassung der Impfquoten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 Erfassung der Impfquoten per </w:t>
            </w:r>
            <w:proofErr w:type="spellStart"/>
            <w:r>
              <w:rPr>
                <w:sz w:val="22"/>
                <w:szCs w:val="22"/>
              </w:rPr>
              <w:t>Telefonsurveillance</w:t>
            </w:r>
            <w:proofErr w:type="spellEnd"/>
            <w:r>
              <w:rPr>
                <w:sz w:val="22"/>
                <w:szCs w:val="22"/>
              </w:rPr>
              <w:t xml:space="preserve"> wie 2009 als Alternative zu KVen Lösung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Leitungseben mit FG33 weiteres Vorgehen besprechen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sz w:val="28"/>
              </w:rPr>
            </w:pPr>
            <w:proofErr w:type="spellStart"/>
            <w:r>
              <w:rPr>
                <w:sz w:val="22"/>
                <w:szCs w:val="22"/>
              </w:rPr>
              <w:t>ToDo</w:t>
            </w:r>
            <w:proofErr w:type="spellEnd"/>
            <w:r>
              <w:rPr>
                <w:sz w:val="22"/>
                <w:szCs w:val="22"/>
              </w:rPr>
              <w:t>: Treffen auf Leitungsebene zum weiteren Vorgehen zur Erfassung der Impfquoten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 (Ole Wichmann)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Statistik: 1.157 Proben, 8,5% pos. Raten,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Tempelhof/Schöneberg: pos. Rate 22%!!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Präsentation: Vergleich Antigentests (RDT) über ZBS1 (Folien werden von ZBS1 nachgereicht)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Bisherige Ergebnisse ZBS1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Ziel: Bewertung Schnelltests durch BMG beauftragt weniger als eine Wo. Zeit: identische Proben für ausgewählte Tests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Mehrere teilnehmende Labore in Kooperation mit RKI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Testauswahl sollte eigentlich durch Marktrecherche erfolgen, aber durch knappe Zeit, hat jeder getestet mit </w:t>
            </w:r>
            <w:r>
              <w:rPr>
                <w:sz w:val="22"/>
                <w:szCs w:val="22"/>
              </w:rPr>
              <w:lastRenderedPageBreak/>
              <w:t>dem was sie hatten;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Bisherige Tests: Vorhanden vs. Geplant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Herstellung von Vergleichsproben: VL per qPCR bestimmt, Einfrieren/Auftauen kaum Einfluss und ebenso kein Einfluss, ob PBS vs. Medium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Gebrauchsanleitung an Partner versendet: 50 Röhrchen bei -80 Grad lagern,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 RKI aus diesem Standard: eingefroren wieder aufgetaut dann getestet: kleine Überlappung zwischen positiven und negativen Ergebnissen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Angabe der 50%- und 95%-Nachweiswahrscheinlichkeit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Ausblick: Anzucht ausgewählter Proben, Auswertung RKI Daten, Zusammenstellung aller Daten der Partner, Auswertung mit PEI, Abschließende Bewertung Abbott ID-NOW (Nukleinsäure Test)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Testungen in den anderen Instituten erfolgt ab jetzt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Großer Dank von Leitung an Fr. Michel und Team für diese Leistung in der kurzen Zeit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(Janine Michel)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Klinisches Management erfolgt am Montag, da die STAKOB noch tagt</w:t>
            </w:r>
          </w:p>
          <w:p>
            <w:pPr>
              <w:ind w:left="113"/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Update Klinisches Management auf Agenda für KS am Montag, den 05.10.2020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(Schulz-Weidhaas)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 xml:space="preserve">Update </w:t>
            </w:r>
            <w:proofErr w:type="spellStart"/>
            <w:r>
              <w:t>SurvNet</w:t>
            </w:r>
            <w:proofErr w:type="spellEnd"/>
            <w:r>
              <w:t xml:space="preserve"> wird gerade runtergeladen, Infobrief in Vorbereitung;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proofErr w:type="spellStart"/>
            <w:r>
              <w:t>ca</w:t>
            </w:r>
            <w:proofErr w:type="spellEnd"/>
            <w:r>
              <w:t xml:space="preserve"> 22 GÄ und die meisten LS haben das neue Update bereits heruntergeladen;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Version läuft stabil, aber sehr umfangreiche Updates, was viele Nachfrage erzeugt;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Ab 05.10.20 werden Inzidenzberechnungen mit den neuen Bevölkerungszahlen durchgeführt; dies könnte Sprünge in Inzidenzen bewirken;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Leider haben Bundesländer andere Stichtage als RKI; dies ist diese Woche beim SK Berlin-Mitte aufgefallen;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Dies könnte im Lagebericht erklärt werden;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Abstimmung mit diesen Bundesländern bitte Anfang der Woche vornehmen, da Absagen von Bundesligaspielen viel Unmut erzeugt;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RKI Inzidenzen durch Übermittlungsverzug eher niedriger als Daten der BL; Vorort sind Daten genauer; BL nehmen oft ihre Melderegister zur Inzidenzberechnung in Bezug auf Bevölkerung;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lastRenderedPageBreak/>
              <w:t>Destatis hatte die Bevölkerungsdaten zum Stand Ende 2018 erst im Sept. 20 veröffentlicht; brauchen diese zur Aufschlüsselung nach z.B. Altersgruppen sowie Geschlecht;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(Michaela Diercke/ Ute 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Presse/AL3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79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Maria: neue Verordnungen vom BMG mit Inkrafttreten am 29.09.20; RKI betreffender Inhalt: 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Aussteigekarten</w:t>
            </w:r>
            <w:proofErr w:type="spellEnd"/>
            <w:r>
              <w:rPr>
                <w:sz w:val="22"/>
              </w:rPr>
              <w:t xml:space="preserve"> auch von Bundespolizei eingesammelt werden kann, wenn Einreisende aus Nicht-EU Ländern kommen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>Bisher Beförderer die Karten einsammeln, jetzt die geben Reisenden diese direkt an Bundespolizei und diese an GÄ; Für Nachfragen sind RKI Adressen angegeben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>Nächste Anordnung am 15.10.20 RKI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Bericht digitale </w:t>
            </w:r>
            <w:proofErr w:type="spellStart"/>
            <w:r>
              <w:rPr>
                <w:sz w:val="22"/>
              </w:rPr>
              <w:t>Aussteigekarten</w:t>
            </w:r>
            <w:proofErr w:type="spellEnd"/>
            <w:r>
              <w:rPr>
                <w:sz w:val="22"/>
              </w:rPr>
              <w:t>: fachlicher Ansprechparten BMG vom RKI keine Rede, hoffen Projekt bleibt erstmal beim BMI;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Lagezentrum (LZ) Update mit Präsentation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):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Schichtzeiten vom LZ geändert: 8.30-18.00 und Position Internationale Kommunikation bis 21 Uhr;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>Erlasse mit sehr kurzer Frist (2-3Std.)</w:t>
            </w:r>
          </w:p>
          <w:p>
            <w:pPr>
              <w:pStyle w:val="Style1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AL3 richtet Aufruf zu mehr Unterstützung der LZ Schichten vor allem an Mitarbeiter außerhalb der Abt. 3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benannt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Montag, 05.10.2020, 13:00 Uhr, 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7807"/>
    <w:multiLevelType w:val="hybridMultilevel"/>
    <w:tmpl w:val="E9E0CF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234513A-2597-4637-818B-EA7200A0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0-02_Lage-AG\COVID-19_Internationale_Lage_2020-10-02.ppt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Lagezentrum.ppt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10-02_Lage-AG\Lage-National_2020-10-02.ppt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DF3C-D950-48AB-BDD7-5D60DC8D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12886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204</cp:revision>
  <cp:lastPrinted>2020-05-06T16:43:00Z</cp:lastPrinted>
  <dcterms:created xsi:type="dcterms:W3CDTF">2020-10-02T16:32:00Z</dcterms:created>
  <dcterms:modified xsi:type="dcterms:W3CDTF">2021-05-06T13:15:00Z</dcterms:modified>
</cp:coreProperties>
</file>