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Kontaktpersonen-Nachverfolgung bei Infektionen durch SARS-CoV-2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29.10.2020</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doc13516162bodyText1" w:history="1">
        <w:r>
          <w:rPr>
            <w:rFonts w:ascii="Times New Roman" w:eastAsia="Times New Roman" w:hAnsi="Times New Roman" w:cs="Times New Roman"/>
            <w:color w:val="0000FF"/>
            <w:sz w:val="24"/>
            <w:szCs w:val="24"/>
            <w:u w:val="single"/>
            <w:lang w:eastAsia="de-DE"/>
          </w:rPr>
          <w:t>1. Vorbemerkungen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2" w:history="1">
        <w:r>
          <w:rPr>
            <w:rFonts w:ascii="Times New Roman" w:eastAsia="Times New Roman" w:hAnsi="Times New Roman" w:cs="Times New Roman"/>
            <w:color w:val="0000FF"/>
            <w:sz w:val="24"/>
            <w:szCs w:val="24"/>
            <w:u w:val="single"/>
            <w:lang w:eastAsia="de-DE"/>
          </w:rPr>
          <w:t>1.1. Allgemeine Hinweise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3" w:history="1">
        <w:r>
          <w:rPr>
            <w:rFonts w:ascii="Times New Roman" w:eastAsia="Times New Roman" w:hAnsi="Times New Roman" w:cs="Times New Roman"/>
            <w:color w:val="0000FF"/>
            <w:sz w:val="24"/>
            <w:szCs w:val="24"/>
            <w:u w:val="single"/>
            <w:lang w:eastAsia="de-DE"/>
          </w:rPr>
          <w:t>1.2. Ziel</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4" w:history="1">
        <w:r>
          <w:rPr>
            <w:rFonts w:ascii="Times New Roman" w:eastAsia="Times New Roman" w:hAnsi="Times New Roman" w:cs="Times New Roman"/>
            <w:color w:val="0000FF"/>
            <w:sz w:val="24"/>
            <w:szCs w:val="24"/>
            <w:u w:val="single"/>
            <w:lang w:eastAsia="de-DE"/>
          </w:rPr>
          <w:t>1.3. Allgemeine Prinzipien der Kontaktpersonennachverfolgung:</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5" w:history="1">
        <w:r>
          <w:rPr>
            <w:rFonts w:ascii="Times New Roman" w:eastAsia="Times New Roman" w:hAnsi="Times New Roman" w:cs="Times New Roman"/>
            <w:color w:val="0000FF"/>
            <w:sz w:val="24"/>
            <w:szCs w:val="24"/>
            <w:u w:val="single"/>
            <w:lang w:eastAsia="de-DE"/>
          </w:rPr>
          <w:t>1.4. Herdsituation (Cluster)</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6" w:history="1">
        <w:r>
          <w:rPr>
            <w:rFonts w:ascii="Times New Roman" w:eastAsia="Times New Roman" w:hAnsi="Times New Roman" w:cs="Times New Roman"/>
            <w:color w:val="0000FF"/>
            <w:sz w:val="24"/>
            <w:szCs w:val="24"/>
            <w:u w:val="single"/>
            <w:lang w:eastAsia="de-DE"/>
          </w:rPr>
          <w:t>1.5. Bemessung der infektiösen Periode des Quellfalls</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7" w:history="1">
        <w:r>
          <w:rPr>
            <w:rFonts w:ascii="Times New Roman" w:eastAsia="Times New Roman" w:hAnsi="Times New Roman" w:cs="Times New Roman"/>
            <w:color w:val="0000FF"/>
            <w:sz w:val="24"/>
            <w:szCs w:val="24"/>
            <w:u w:val="single"/>
            <w:lang w:eastAsia="de-DE"/>
          </w:rPr>
          <w:t>2. Definition und Umgang mit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8" w:history="1">
        <w:r>
          <w:rPr>
            <w:rFonts w:ascii="Times New Roman" w:eastAsia="Times New Roman" w:hAnsi="Times New Roman" w:cs="Times New Roman"/>
            <w:color w:val="0000FF"/>
            <w:sz w:val="24"/>
            <w:szCs w:val="24"/>
            <w:u w:val="single"/>
            <w:lang w:eastAsia="de-DE"/>
          </w:rPr>
          <w:t>2.1. Kontaktpersonen der Kategorie I (höheres Infektionsrisiko):</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9" w:history="1">
        <w:r>
          <w:rPr>
            <w:rFonts w:ascii="Times New Roman" w:eastAsia="Times New Roman" w:hAnsi="Times New Roman" w:cs="Times New Roman"/>
            <w:color w:val="0000FF"/>
            <w:sz w:val="24"/>
            <w:szCs w:val="24"/>
            <w:u w:val="single"/>
            <w:lang w:eastAsia="de-DE"/>
          </w:rPr>
          <w:t>2.2. Kontaktpersonen der Kategorie II (geringeres Infektionsrisiko)</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11" w:history="1">
        <w:r>
          <w:rPr>
            <w:rFonts w:ascii="Times New Roman" w:eastAsia="Times New Roman" w:hAnsi="Times New Roman" w:cs="Times New Roman"/>
            <w:color w:val="0000FF"/>
            <w:sz w:val="24"/>
            <w:szCs w:val="24"/>
            <w:u w:val="single"/>
            <w:lang w:eastAsia="de-DE"/>
          </w:rPr>
          <w:t>Synopse Kontaktpersonenmanagement</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 gegenüber der Version vom 24.9.2020: </w:t>
      </w:r>
      <w:r>
        <w:rPr>
          <w:rFonts w:ascii="Times New Roman" w:eastAsia="Times New Roman" w:hAnsi="Times New Roman" w:cs="Times New Roman"/>
          <w:sz w:val="24"/>
          <w:szCs w:val="24"/>
          <w:lang w:eastAsia="de-DE"/>
        </w:rPr>
        <w:br/>
      </w:r>
      <w:r>
        <w:rPr>
          <w:rFonts w:ascii="Times New Roman" w:eastAsia="Times New Roman" w:hAnsi="Times New Roman" w:cs="Times New Roman"/>
          <w:i/>
          <w:iCs/>
          <w:sz w:val="24"/>
          <w:szCs w:val="24"/>
          <w:lang w:eastAsia="de-DE"/>
        </w:rPr>
        <w:t xml:space="preserve">Grundlegende redaktionelle Umstrukturierung. </w:t>
      </w:r>
      <w:r>
        <w:rPr>
          <w:rFonts w:ascii="Times New Roman" w:eastAsia="Times New Roman" w:hAnsi="Times New Roman" w:cs="Times New Roman"/>
          <w:sz w:val="24"/>
          <w:szCs w:val="24"/>
          <w:lang w:eastAsia="de-DE"/>
        </w:rPr>
        <w:br/>
      </w:r>
      <w:r>
        <w:rPr>
          <w:rFonts w:ascii="Times New Roman" w:eastAsia="Times New Roman" w:hAnsi="Times New Roman" w:cs="Times New Roman"/>
          <w:i/>
          <w:iCs/>
          <w:sz w:val="24"/>
          <w:szCs w:val="24"/>
          <w:lang w:eastAsia="de-DE"/>
        </w:rPr>
        <w:t xml:space="preserve">Änderung der Testung asymptomatischer Kontaktpersonen der Kategorie I als Einzelfallentscheidung. </w:t>
      </w:r>
      <w:r>
        <w:rPr>
          <w:rFonts w:ascii="Times New Roman" w:eastAsia="Times New Roman" w:hAnsi="Times New Roman" w:cs="Times New Roman"/>
          <w:sz w:val="24"/>
          <w:szCs w:val="24"/>
          <w:lang w:eastAsia="de-DE"/>
        </w:rPr>
        <w:br/>
      </w:r>
      <w:r>
        <w:rPr>
          <w:rFonts w:ascii="Times New Roman" w:eastAsia="Times New Roman" w:hAnsi="Times New Roman" w:cs="Times New Roman"/>
          <w:i/>
          <w:iCs/>
          <w:sz w:val="24"/>
          <w:szCs w:val="24"/>
          <w:lang w:eastAsia="de-DE"/>
        </w:rPr>
        <w:t xml:space="preserve">Änderung von täglicher </w:t>
      </w:r>
      <w:proofErr w:type="gramStart"/>
      <w:r>
        <w:rPr>
          <w:rFonts w:ascii="Times New Roman" w:eastAsia="Times New Roman" w:hAnsi="Times New Roman" w:cs="Times New Roman"/>
          <w:i/>
          <w:iCs/>
          <w:sz w:val="24"/>
          <w:szCs w:val="24"/>
          <w:lang w:eastAsia="de-DE"/>
        </w:rPr>
        <w:t>auf regelmäßiger Kontakt</w:t>
      </w:r>
      <w:proofErr w:type="gramEnd"/>
      <w:r>
        <w:rPr>
          <w:rFonts w:ascii="Times New Roman" w:eastAsia="Times New Roman" w:hAnsi="Times New Roman" w:cs="Times New Roman"/>
          <w:i/>
          <w:iCs/>
          <w:sz w:val="24"/>
          <w:szCs w:val="24"/>
          <w:lang w:eastAsia="de-DE"/>
        </w:rPr>
        <w:t xml:space="preserve"> bei Kontaktpersonen der Kategorie I</w:t>
      </w:r>
      <w:r>
        <w:rPr>
          <w:rFonts w:ascii="Times New Roman" w:eastAsia="Times New Roman" w:hAnsi="Times New Roman" w:cs="Times New Roman"/>
          <w:sz w:val="24"/>
          <w:szCs w:val="24"/>
          <w:lang w:eastAsia="de-DE"/>
        </w:rPr>
        <w:br/>
      </w:r>
      <w:r>
        <w:rPr>
          <w:rFonts w:ascii="Times New Roman" w:eastAsia="Times New Roman" w:hAnsi="Times New Roman" w:cs="Times New Roman"/>
          <w:i/>
          <w:iCs/>
          <w:sz w:val="24"/>
          <w:szCs w:val="24"/>
          <w:lang w:eastAsia="de-DE"/>
        </w:rPr>
        <w:t>Aufnahme der Exposition im privaten Umfeld bei Kontaktpersonen der Kategorie III.</w:t>
      </w:r>
      <w:r>
        <w:rPr>
          <w:rFonts w:ascii="Times New Roman" w:eastAsia="Times New Roman" w:hAnsi="Times New Roman" w:cs="Times New Roman"/>
          <w:sz w:val="24"/>
          <w:szCs w:val="24"/>
          <w:lang w:eastAsia="de-DE"/>
        </w:rPr>
        <w:br/>
      </w:r>
      <w:r>
        <w:rPr>
          <w:rFonts w:ascii="Times New Roman" w:eastAsia="Times New Roman" w:hAnsi="Times New Roman" w:cs="Times New Roman"/>
          <w:i/>
          <w:iCs/>
          <w:sz w:val="24"/>
          <w:szCs w:val="24"/>
          <w:lang w:eastAsia="de-DE"/>
        </w:rPr>
        <w:t>Inhaltliche Anpassung zur Aussetzung der Kontaktpersonennachverfolgung bei Flugreisen prospektiv ab dem 20.10.2020.</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5" w:tgtFrame="_blank" w:tooltip="Infografik: Kontaktpersonen­nachverfolgung bei SARS-CoV-2-Infektionen (Öffnet neues Fenster)" w:history="1">
        <w:r>
          <w:rPr>
            <w:rFonts w:ascii="Times New Roman" w:eastAsia="Times New Roman" w:hAnsi="Times New Roman" w:cs="Times New Roman"/>
            <w:b/>
            <w:bCs/>
            <w:color w:val="0000FF"/>
            <w:sz w:val="24"/>
            <w:szCs w:val="24"/>
            <w:u w:val="single"/>
            <w:lang w:eastAsia="de-DE"/>
          </w:rPr>
          <w:t>Infografik Kontaktpersonen</w:t>
        </w:r>
        <w:r>
          <w:rPr>
            <w:rFonts w:ascii="Times New Roman" w:eastAsia="Times New Roman" w:hAnsi="Times New Roman" w:cs="Times New Roman"/>
            <w:b/>
            <w:bCs/>
            <w:color w:val="0000FF"/>
            <w:sz w:val="24"/>
            <w:szCs w:val="24"/>
            <w:u w:val="single"/>
            <w:lang w:eastAsia="de-DE"/>
          </w:rPr>
          <w:softHyphen/>
          <w:t>nachverfolgung</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0" w:name="doc13516162bodyText1"/>
      <w:bookmarkEnd w:id="0"/>
      <w:r>
        <w:rPr>
          <w:rFonts w:ascii="Times New Roman" w:eastAsia="Times New Roman" w:hAnsi="Times New Roman" w:cs="Times New Roman"/>
          <w:b/>
          <w:bCs/>
          <w:sz w:val="36"/>
          <w:szCs w:val="36"/>
          <w:lang w:eastAsia="de-DE"/>
        </w:rPr>
        <w:t>1. Vorbemerkungen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 w:name="doc13516162bodyText2"/>
      <w:bookmarkEnd w:id="1"/>
      <w:r>
        <w:rPr>
          <w:rFonts w:ascii="Times New Roman" w:eastAsia="Times New Roman" w:hAnsi="Times New Roman" w:cs="Times New Roman"/>
          <w:b/>
          <w:bCs/>
          <w:sz w:val="27"/>
          <w:szCs w:val="27"/>
          <w:lang w:eastAsia="de-DE"/>
        </w:rPr>
        <w:t>1.1. Allgemeine Hinweise</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folgenden Hinweise können in der Situation vor Ort im Rahmen einer Risikobewertung durch das zuständige Gesundheitsamt unter Berücksichtigung der angestrebten Schutzziele angepasst werden.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 Empfehlungen liegen folgende Annahmen zugrunde:</w:t>
      </w:r>
    </w:p>
    <w:p>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Dauer der Inkubationszeit beträgt in den meisten Fällen maximal 14 Tage. </w:t>
      </w:r>
    </w:p>
    <w:p>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Mittelwert/Median für die Inkubationszeit liegt bei 5-6 Tagen.</w:t>
      </w:r>
    </w:p>
    <w:p>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Dauer der infektiösen Periode beträgt etwa 12 Tage. Sie beginnt </w:t>
      </w:r>
    </w:p>
    <w:p>
      <w:pPr>
        <w:numPr>
          <w:ilvl w:val="2"/>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asymptomatischem Quellfall (Exposition bekannt): am Tag 3 nach Exposition; </w:t>
      </w:r>
    </w:p>
    <w:p>
      <w:pPr>
        <w:numPr>
          <w:ilvl w:val="2"/>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asymptomatischem Quellfall (nur Probenahme-Termin bekannt): am Tag 2 vor der Probenahme; </w:t>
      </w:r>
    </w:p>
    <w:p>
      <w:pPr>
        <w:numPr>
          <w:ilvl w:val="2"/>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symptomatischem Quellfall: 2 Tage vor Symptombeginn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Aufgrund der epidemiologischen Lage weltweit und in Deutschland wird die Empfehlung zur Kontaktpersonennachverfolgung bei Flugreisenden prospektiv ab dem 20.10.2020 ausgesetzt. Die Kontaktpersonennachverfolgung auf Flügen ist sehr zeit- und personalaufwändig. Durch die Aussetzung der Empfehlung sollten die </w:t>
      </w:r>
      <w:r>
        <w:rPr>
          <w:rFonts w:ascii="Times New Roman" w:eastAsia="Times New Roman" w:hAnsi="Times New Roman" w:cs="Times New Roman"/>
          <w:sz w:val="24"/>
          <w:szCs w:val="24"/>
          <w:lang w:eastAsia="de-DE"/>
        </w:rPr>
        <w:lastRenderedPageBreak/>
        <w:t>verfügbaren Ressourcen vermehrt auf das Geschehen vor Ort konzentriert werden können.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 w:name="doc13516162bodyText3"/>
      <w:bookmarkEnd w:id="2"/>
      <w:r>
        <w:rPr>
          <w:rFonts w:ascii="Times New Roman" w:eastAsia="Times New Roman" w:hAnsi="Times New Roman" w:cs="Times New Roman"/>
          <w:b/>
          <w:bCs/>
          <w:sz w:val="27"/>
          <w:szCs w:val="27"/>
          <w:lang w:eastAsia="de-DE"/>
        </w:rPr>
        <w:t>1.2. Ziel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Unterbrechung von Infektionsketten ausgehend von einem bestätigten Fall</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 w:name="doc13516162bodyText4"/>
      <w:bookmarkEnd w:id="3"/>
      <w:r>
        <w:rPr>
          <w:rFonts w:ascii="Times New Roman" w:eastAsia="Times New Roman" w:hAnsi="Times New Roman" w:cs="Times New Roman"/>
          <w:b/>
          <w:bCs/>
          <w:sz w:val="27"/>
          <w:szCs w:val="27"/>
          <w:lang w:eastAsia="de-DE"/>
        </w:rPr>
        <w:t>1.3. Allgemeine Prinzipien der Kontaktpersonennachverfolgung:</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Sowohl die "Vorwärts-Ermittlung" der von einem bestätigten Fall ausgehenden, möglichen Übertragungen, als auch die „Rückwärts-Ermittlung“ (Infektionsquellensuche) sind von Bedeutung.</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Ermittlung eines schon bestätigten oder potentiellen Ausbruchsgeschehens ("Herd"; Cluster) hat Vorrang vor Einzelfällen.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Ereignisse bei oder im Kontext von vulnerablen Personen oder medizinischem Personal (z.B. Pflegeeinrichtungen, Krankenhäuser) haben Vorrang vor anderen Situationen.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Ermittlung von Kontaktpersonen gilt folgende Priorität: Kategorie I &gt; Kategorie III &gt; Kategorie II</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Information der Kontaktpersonen zu ihrem Erkrankungsrisiko, über die Kontaktreduktion und das Vorgehen bei eintretender Symptomatik.</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Frühe Erkennung von Erkrankungen unter den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 w:name="doc13516162bodyText5"/>
      <w:bookmarkEnd w:id="4"/>
      <w:r>
        <w:rPr>
          <w:rFonts w:ascii="Times New Roman" w:eastAsia="Times New Roman" w:hAnsi="Times New Roman" w:cs="Times New Roman"/>
          <w:b/>
          <w:bCs/>
          <w:sz w:val="27"/>
          <w:szCs w:val="27"/>
          <w:lang w:eastAsia="de-DE"/>
        </w:rPr>
        <w:t>1.4. Herdsituation (Cluster)</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 manche Fälle mehr Personen anstecken als andere (Überdispersion) und somit auch mehr zum Infektionsgeschehen beitragen, sollte ein besonderes Augenmerk auf schon bestätigte oder potentielle Herdsituationen gelegt werden. Dabei sind sowohl mögliche Herdsituationen von Relevanz, bei denen sich der Fall (und möglicherweise auch mehrere andere Personen) angesteckt haben (Rückwärts-Ermittlung), als auch Herdsituationen, die der Fall selbst ausgelöst haben könnte, als er schon infektiös war (Vorwärts-Ermittlung). Dazu sollten die folgenden Schritte beachtet werden:</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die Risikobewertung gehen u. a. ein: einmalige Exposition vs. fortdauernde Exposition; Beurteilung des Infektionsumfelds/Setting (z.B. Räumlichkeit, Dauer des Aufenthalts, Personendichte, Lüftungsverhältnisse, Aktivitäten)</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Epidemiologische Analyse: z.B. ob es bei dem Ereignis Hinweise gab, dass eine (Aerosol-)Übertragung über mehr als 1,5 m stattfand Ggf. Einbindung des Veranstalters oder einer anderen Schlüsselperson (z.B. zur Erstellung einer Kontaktpersonenliste; schnelle Informationsweiterleitung)</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Fallsuche (ggf. Kommunikation mit anderen Gesundheitsämtern; ad hoc-Testung von symptomatischen und asymptomatischen Exponierten)</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Ggf. Quarantäne aller Personen in der Gruppe, z.B. nach relativ beengter Raumsituation oder schwer zu überblickender Kontaktsituation mit dem Quellfall, unabhängig von der individuellen Risikoermittlung (Bsp. Schulklasse, Gruppenveranstaltungen)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5" w:name="doc13516162bodyText6"/>
      <w:bookmarkEnd w:id="5"/>
      <w:r>
        <w:rPr>
          <w:rFonts w:ascii="Times New Roman" w:eastAsia="Times New Roman" w:hAnsi="Times New Roman" w:cs="Times New Roman"/>
          <w:b/>
          <w:bCs/>
          <w:sz w:val="27"/>
          <w:szCs w:val="27"/>
          <w:lang w:eastAsia="de-DE"/>
        </w:rPr>
        <w:t xml:space="preserve">1.5. Bemessung der infektiösen Periode des Quellfalls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Personen, die im infektiösen Zeitintervall Kontakt </w:t>
      </w:r>
      <w:proofErr w:type="gramStart"/>
      <w:r>
        <w:rPr>
          <w:rFonts w:ascii="Times New Roman" w:eastAsia="Times New Roman" w:hAnsi="Times New Roman" w:cs="Times New Roman"/>
          <w:sz w:val="24"/>
          <w:szCs w:val="24"/>
          <w:lang w:eastAsia="de-DE"/>
        </w:rPr>
        <w:t>mit einem bestätigtem COVID-19-Fall</w:t>
      </w:r>
      <w:proofErr w:type="gramEnd"/>
      <w:r>
        <w:rPr>
          <w:rFonts w:ascii="Times New Roman" w:eastAsia="Times New Roman" w:hAnsi="Times New Roman" w:cs="Times New Roman"/>
          <w:sz w:val="24"/>
          <w:szCs w:val="24"/>
          <w:lang w:eastAsia="de-DE"/>
        </w:rPr>
        <w:t xml:space="preserve"> („Quellfall“) hatten, werden als „Kontaktperson“ bezeichnet. Im Folgenden wird beschrieben, wie sich das infektiöse Intervall bemisst, wenn ein Quellfall symptomatisch </w:t>
      </w:r>
      <w:proofErr w:type="spellStart"/>
      <w:r>
        <w:rPr>
          <w:rFonts w:ascii="Times New Roman" w:eastAsia="Times New Roman" w:hAnsi="Times New Roman" w:cs="Times New Roman"/>
          <w:sz w:val="24"/>
          <w:szCs w:val="24"/>
          <w:lang w:eastAsia="de-DE"/>
        </w:rPr>
        <w:t>bzw</w:t>
      </w:r>
      <w:proofErr w:type="spellEnd"/>
      <w:r>
        <w:rPr>
          <w:rFonts w:ascii="Times New Roman" w:eastAsia="Times New Roman" w:hAnsi="Times New Roman" w:cs="Times New Roman"/>
          <w:sz w:val="24"/>
          <w:szCs w:val="24"/>
          <w:lang w:eastAsia="de-DE"/>
        </w:rPr>
        <w:t xml:space="preserve"> asymptomatisch ist.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Pr>
          <w:rFonts w:ascii="Times New Roman" w:eastAsia="Times New Roman" w:hAnsi="Times New Roman" w:cs="Times New Roman"/>
          <w:b/>
          <w:bCs/>
          <w:sz w:val="24"/>
          <w:szCs w:val="24"/>
          <w:lang w:eastAsia="de-DE"/>
        </w:rPr>
        <w:t xml:space="preserve">Das infektiöse Zeitintervall für symptomatische Fälle mit bekanntem Symptombeginn: </w:t>
      </w:r>
      <w:r>
        <w:rPr>
          <w:rFonts w:ascii="Times New Roman" w:eastAsia="Times New Roman" w:hAnsi="Times New Roman" w:cs="Times New Roman"/>
          <w:sz w:val="24"/>
          <w:szCs w:val="24"/>
          <w:lang w:eastAsia="de-DE"/>
        </w:rPr>
        <w:br/>
        <w:t xml:space="preserve">Ab dem 2. Tag vor Auftreten der ersten Symptome des Falles bis mindestens 10 Tage nach Symptombeginn, bei schwerer oder andauernder Symptomatik ggf. auch länger, siehe </w:t>
      </w:r>
      <w:hyperlink r:id="rId21" w:tooltip="covid-19-entlassungskriterien" w:history="1">
        <w:r>
          <w:rPr>
            <w:rFonts w:ascii="Times New Roman" w:eastAsia="Times New Roman" w:hAnsi="Times New Roman" w:cs="Times New Roman"/>
            <w:color w:val="0000FF"/>
            <w:sz w:val="24"/>
            <w:szCs w:val="24"/>
            <w:u w:val="single"/>
            <w:lang w:eastAsia="de-DE"/>
          </w:rPr>
          <w:t>www.rki.de/covid-19-entlassungskriterien</w:t>
        </w:r>
      </w:hyperlink>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Pr>
          <w:rFonts w:ascii="Times New Roman" w:eastAsia="Times New Roman" w:hAnsi="Times New Roman" w:cs="Times New Roman"/>
          <w:b/>
          <w:bCs/>
          <w:sz w:val="24"/>
          <w:szCs w:val="24"/>
          <w:lang w:eastAsia="de-DE"/>
        </w:rPr>
        <w:t>Das infektiöse Zeitintervall für asymptomatische Fälle:</w:t>
      </w:r>
      <w:r>
        <w:rPr>
          <w:rFonts w:ascii="Times New Roman" w:eastAsia="Times New Roman" w:hAnsi="Times New Roman" w:cs="Times New Roman"/>
          <w:sz w:val="24"/>
          <w:szCs w:val="24"/>
          <w:lang w:eastAsia="de-DE"/>
        </w:rPr>
        <w:br/>
        <w:t>In Situationen, in denen keine weiteren Informationen zur Infektionsquelle zu dem asymptomatischen Fall vorliegen und es sich um keine besondere Risikosituation handelt (z.B. Mitarbeiterin/Mitarbeiter in der Altenpflege oder in einem Krankenhaus, dies erfordert immer eine Einzelfallentscheidung), kann in Analogie zu symptomatischen Fällen der Labornachweis als Näherung für den Symptombeginn angenommen werden, somit sind Personen mit Kontakt ab 48h vor Probenabnahmedatum nachzuverfolgen. Das Ende der infektiösen Periode wird entsprechend mit 10 Tagen nach Probenentnahme angenommen.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bedeutet: Infektiöse Periode bei unbekanntem Infektionsdatum = 2 Tage vor </w:t>
      </w:r>
      <w:proofErr w:type="spellStart"/>
      <w:r>
        <w:rPr>
          <w:rFonts w:ascii="Times New Roman" w:eastAsia="Times New Roman" w:hAnsi="Times New Roman" w:cs="Times New Roman"/>
          <w:sz w:val="24"/>
          <w:szCs w:val="24"/>
          <w:lang w:eastAsia="de-DE"/>
        </w:rPr>
        <w:t>Probenahmedatum</w:t>
      </w:r>
      <w:proofErr w:type="spellEnd"/>
      <w:r>
        <w:rPr>
          <w:rFonts w:ascii="Times New Roman" w:eastAsia="Times New Roman" w:hAnsi="Times New Roman" w:cs="Times New Roman"/>
          <w:sz w:val="24"/>
          <w:szCs w:val="24"/>
          <w:lang w:eastAsia="de-DE"/>
        </w:rPr>
        <w:t xml:space="preserve"> bis 10 Tage nach </w:t>
      </w:r>
      <w:proofErr w:type="spellStart"/>
      <w:r>
        <w:rPr>
          <w:rFonts w:ascii="Times New Roman" w:eastAsia="Times New Roman" w:hAnsi="Times New Roman" w:cs="Times New Roman"/>
          <w:sz w:val="24"/>
          <w:szCs w:val="24"/>
          <w:lang w:eastAsia="de-DE"/>
        </w:rPr>
        <w:t>Probenahmedatum</w:t>
      </w:r>
      <w:proofErr w:type="spellEnd"/>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Wenn bekannt oder sehr wahrscheinlich ist, bei wem und wann oder bei welchem Ereignis sich der asymptomatische Fall vermutlich angesteckt hat (häufig werden diese im Rahmen der Umgebungsuntersuchung von Fällen identifiziert), können Kontakte ab dem dritten Tag nach der Exposition gegenüber dem Quellfall als potenziell infektiös angenommen werden, aber nicht später als das Datum der Probennahme. Die Dauer der infektiösen Periode wird entsprechend für 12 Tage nach dem dritten Tag nach der Exposition angenommen.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bedeutet: Infektiöse Periode bei bekanntem Infektionsdatum = von Tag 3 nach Exposition bis Tag 15 nach Exposition.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 w:name="doc13516162bodyText7"/>
      <w:bookmarkEnd w:id="6"/>
      <w:r>
        <w:rPr>
          <w:rFonts w:ascii="Times New Roman" w:eastAsia="Times New Roman" w:hAnsi="Times New Roman" w:cs="Times New Roman"/>
          <w:b/>
          <w:bCs/>
          <w:sz w:val="36"/>
          <w:szCs w:val="36"/>
          <w:lang w:eastAsia="de-DE"/>
        </w:rPr>
        <w:t>2. Definition und Umgang mit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7" w:name="doc13516162bodyText8"/>
      <w:bookmarkEnd w:id="7"/>
      <w:r>
        <w:rPr>
          <w:rFonts w:ascii="Times New Roman" w:eastAsia="Times New Roman" w:hAnsi="Times New Roman" w:cs="Times New Roman"/>
          <w:b/>
          <w:bCs/>
          <w:sz w:val="27"/>
          <w:szCs w:val="27"/>
          <w:lang w:eastAsia="de-DE"/>
        </w:rPr>
        <w:t xml:space="preserve">2.1. Kontaktpersonen der Kategorie I (höheres Infektionsrisiko): </w:t>
      </w:r>
      <w:bookmarkStart w:id="8" w:name="ki"/>
      <w:bookmarkEnd w:id="8"/>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Kontaktpersonen werden in folgenden zwei Situationen in die Kategorie 1 eingruppiert: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 Enger Kontakt (&lt;1,5 m, Nahfeld) </w:t>
      </w:r>
      <w:r>
        <w:rPr>
          <w:rFonts w:ascii="Times New Roman" w:eastAsia="Times New Roman" w:hAnsi="Times New Roman" w:cs="Times New Roman"/>
          <w:sz w:val="24"/>
          <w:szCs w:val="24"/>
          <w:lang w:eastAsia="de-DE"/>
        </w:rPr>
        <w:br/>
        <w:t xml:space="preserve">Infektiöses Virus wird vom Quellfall über Aerosole/Kleinpartikel (im Folgenden als „Aerosol(e)“ bezeichnet) und über Tröpfchen ausgestoßen (emittiert). Die Zahl der emittierten Partikel steigt von Atmen über Sprechen, zu Schreien bzw. Singen an. Im Nahfeld (etwa 1,5 </w:t>
      </w:r>
      <w:r>
        <w:rPr>
          <w:rFonts w:ascii="Times New Roman" w:eastAsia="Times New Roman" w:hAnsi="Times New Roman" w:cs="Times New Roman"/>
          <w:sz w:val="24"/>
          <w:szCs w:val="24"/>
          <w:lang w:eastAsia="de-DE"/>
        </w:rPr>
        <w:lastRenderedPageBreak/>
        <w:t xml:space="preserve">m) um eine infektiöse Person ist die Partikelkonzentration größer („Atemstrahl“). Es wird vermutet, dass die meisten Übertragungen über das Nahfeld erfolgen. Die Exposition im Nahfeld kann durch korrekten Einsatz einer Maske (Mund-Nasenschutz (MNS), Mund-Nasen-Bedeckung (MNB, entspricht Alltagsmaske) oder FFP-Maske) gemindert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Kontakt unabhängig vom Abstand (hohe Konzentration infektiöser Aerosole im Raum)</w:t>
      </w:r>
      <w:r>
        <w:rPr>
          <w:rFonts w:ascii="Times New Roman" w:eastAsia="Times New Roman" w:hAnsi="Times New Roman" w:cs="Times New Roman"/>
          <w:sz w:val="24"/>
          <w:szCs w:val="24"/>
          <w:lang w:eastAsia="de-DE"/>
        </w:rPr>
        <w:br/>
        <w:t>Darüber hinaus können sich Viruspartikel in Aerosolen bei mangelnder Frischluftzufuhr in Innenräumen anreichern, weil sie über Stunden in der Luft schweben können. Vermehrungsfähige Viren haben (unter experimentellen Bedingungen) eine Halbwertszeit von etwa 1 Stunde. In einer solchen Situation mit hoher Konzentration infektiöser Viruspartikel im Raum sind auch Personen gefährdet, die sich weit vom Quellfall entfernt aufhalten („</w:t>
      </w:r>
      <w:proofErr w:type="spellStart"/>
      <w:r>
        <w:rPr>
          <w:rFonts w:ascii="Times New Roman" w:eastAsia="Times New Roman" w:hAnsi="Times New Roman" w:cs="Times New Roman"/>
          <w:sz w:val="24"/>
          <w:szCs w:val="24"/>
          <w:lang w:eastAsia="de-DE"/>
        </w:rPr>
        <w:t>Fernfeld</w:t>
      </w:r>
      <w:proofErr w:type="spellEnd"/>
      <w:r>
        <w:rPr>
          <w:rFonts w:ascii="Times New Roman" w:eastAsia="Times New Roman" w:hAnsi="Times New Roman" w:cs="Times New Roman"/>
          <w:sz w:val="24"/>
          <w:szCs w:val="24"/>
          <w:lang w:eastAsia="de-DE"/>
        </w:rPr>
        <w:t xml:space="preserve">“, siehe auch </w:t>
      </w:r>
      <w:hyperlink r:id="rId24" w:tgtFrame="_blank" w:tooltip="SARS-CoV-2 Steckbrief zur Coronavirus-Krankheit-2019 (COVID-19) (Öffnet neues Fenster)" w:history="1">
        <w:r>
          <w:rPr>
            <w:rFonts w:ascii="Times New Roman" w:eastAsia="Times New Roman" w:hAnsi="Times New Roman" w:cs="Times New Roman"/>
            <w:color w:val="0000FF"/>
            <w:sz w:val="24"/>
            <w:szCs w:val="24"/>
            <w:u w:val="single"/>
            <w:lang w:eastAsia="de-DE"/>
          </w:rPr>
          <w:t>Steckbrief des RKI</w:t>
        </w:r>
      </w:hyperlink>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br/>
        <w:t xml:space="preserve">Das Risiko steigt dann an mit </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Zahl der infektiösen Personen </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Infektiosität des Quellfalls (um den Erkrankungsbeginn herum höher als später im Erkrankungsverlauf)</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Länge des Aufenthalts der infektiösen Person(en) im Raum</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Intensität der Partikelemission (Atmen&lt;Sprechen&lt;&lt;Schreien/Singen; eine singende Person emittiert pro Sekunde in etwa so viele Partikel wie 30 sprechende Personen) </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Atemaktivität der exponierten Personen (z.B. Sporttreiben)</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Enge des Raumes und</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dem Mangel an Frischluftzufuhr (Details siehe </w:t>
      </w:r>
      <w:hyperlink r:id="rId25" w:tgtFrame="_blank" w:tooltip="Externer Link Das Risiko einer Übertragung von SARS-CoV-2 in Innenräumen lässt sich durch geeignete Lüftungsmaßnahmen reduzieren (Öffnet neues Fenster)" w:history="1">
        <w:r>
          <w:rPr>
            <w:rFonts w:ascii="Times New Roman" w:eastAsia="Times New Roman" w:hAnsi="Times New Roman" w:cs="Times New Roman"/>
            <w:color w:val="0000FF"/>
            <w:sz w:val="24"/>
            <w:szCs w:val="24"/>
            <w:u w:val="single"/>
            <w:lang w:eastAsia="de-DE"/>
          </w:rPr>
          <w:t>Stellungnahme der Kommission Innenraumlufthygiene am Umweltbundesamt</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Exposition einer Einzelperson zu im Raum hochkonzentriert schwebenden infektiösen Partikeln kann durch MNS/MNB kaum gemindert werden, da die Aerosole an der Maske vorbei eingeatmet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Beispielhafte Konstellationen für Kontaktpersonen der Kategorie I</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kumulativ mindestens 15-minütigem Gesichts-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 mit einem Quellfall, z.B. im Rahmen eines Gesprächs. Dazu gehören z.B. Personen aus demselben Haushalt (A)</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direktem Kontakt zu Sekreten oder Körperflüssigkeiten, insbesondere zu respiratorischen Sekreten eines Quellfalls, wie z.B. Küssen, Anhusten, Anniesen, Kontakt zu Erbrochenem, Mund-zu-Mund Beatmung, etc. (A)</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nach Risikobewertung durch das Gesundheitsamt mit hoher Wahrscheinlichkeit einer hohen Konzentration von infektiösem Aerosol im Raum ausgesetzt waren (z.B. Feiern, gemeinsames Singen oder Sporttreiben in Innenräumen ohne adäquate Lüftung) (B)</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Optional: Personen in relativ beengter Raumsituation oder schwer zu überblickender Kontaktsituation mit dem bestätigten COVID-19-Fall (z.B. Schulklassen, Gruppenveranstaltungen), unabhängig von der individuellen Risikoermittlung (A, B)</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Falls die Kontaktperson früher bereits selbst ein laborbestätigter Fall war, ist keine Quarantäne erforderlich. Es soll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erfolgen und bei Auftreten von Symptomen eine sofortige Selbst-Isolation und Testung. Bei positivem Test wird die Kontaktperson wieder zu einem Fall. In dieser Situation sollten alle Maßnahmen ergriffen werden wie bei sonstigen Fällen auch (inkl. Isolation).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Empfohlenes Management von Kontaktpersonen der Kategorie I</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Ermittlung der persönlichen Daten der Kontaktpersonen und bei Veranstaltungen zusätzlich des Namens und der Telefonnummer des Ansprechpartners durch das Gesundheitsamt.</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Information der Kontaktpersonen zu Übertragungsrisiken und über das COVID-19-Krankheitsbild sowie mögliche Krankheitsverläufe.</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Häusliche Absonderung für 14 Tage </w:t>
      </w:r>
      <w:r>
        <w:rPr>
          <w:rFonts w:ascii="Times New Roman" w:eastAsia="Times New Roman" w:hAnsi="Times New Roman" w:cs="Times New Roman"/>
          <w:b/>
          <w:bCs/>
          <w:sz w:val="24"/>
          <w:szCs w:val="24"/>
          <w:lang w:eastAsia="de-DE"/>
        </w:rPr>
        <w:t>(Quarantäne)</w:t>
      </w:r>
      <w:r>
        <w:rPr>
          <w:rFonts w:ascii="Times New Roman" w:eastAsia="Times New Roman" w:hAnsi="Times New Roman" w:cs="Times New Roman"/>
          <w:b/>
          <w:bCs/>
          <w:sz w:val="24"/>
          <w:szCs w:val="24"/>
          <w:lang w:eastAsia="de-DE"/>
        </w:rPr>
        <w:t xml:space="preserve"> - </w:t>
      </w:r>
      <w:r>
        <w:rPr>
          <w:rFonts w:ascii="Times New Roman" w:eastAsia="Times New Roman" w:hAnsi="Times New Roman" w:cs="Times New Roman"/>
          <w:bCs/>
          <w:sz w:val="24"/>
          <w:szCs w:val="24"/>
          <w:lang w:eastAsia="de-DE"/>
        </w:rPr>
        <w:t>gerechnet</w:t>
      </w:r>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ab dem letzten Tag des Kontaktes</w:t>
      </w:r>
      <w:r>
        <w:rPr>
          <w:rFonts w:ascii="Times New Roman" w:eastAsia="Times New Roman" w:hAnsi="Times New Roman" w:cs="Times New Roman"/>
          <w:sz w:val="24"/>
          <w:szCs w:val="24"/>
          <w:lang w:eastAsia="de-DE"/>
        </w:rPr>
        <w:t xml:space="preserve"> zum Quellfall</w:t>
      </w:r>
      <w:bookmarkStart w:id="9" w:name="_GoBack"/>
      <w:bookmarkEnd w:id="9"/>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ggf. kann die Absonderung unter Abwägung der Möglichkeiten und nach Risikobewertung des Gesundheitsamtes in einer anderen Einrichtung erfolgen</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bookmarkStart w:id="10" w:name="_Hlk54887810"/>
      <w:r>
        <w:rPr>
          <w:rFonts w:ascii="Times New Roman" w:eastAsia="Times New Roman" w:hAnsi="Times New Roman" w:cs="Times New Roman"/>
          <w:sz w:val="24"/>
          <w:szCs w:val="24"/>
          <w:lang w:eastAsia="de-DE"/>
        </w:rPr>
        <w:t xml:space="preserve">Die </w:t>
      </w:r>
      <w:r>
        <w:rPr>
          <w:rFonts w:ascii="Times New Roman" w:eastAsia="Times New Roman" w:hAnsi="Times New Roman" w:cs="Times New Roman"/>
          <w:sz w:val="24"/>
          <w:szCs w:val="24"/>
          <w:lang w:eastAsia="de-DE"/>
        </w:rPr>
        <w:t xml:space="preserve">Quarantäne für weitere Haushaltsmitglieder eines bestätigten Falles </w:t>
      </w:r>
      <w:r>
        <w:rPr>
          <w:rFonts w:ascii="Times New Roman" w:eastAsia="Times New Roman" w:hAnsi="Times New Roman" w:cs="Times New Roman"/>
          <w:sz w:val="24"/>
          <w:szCs w:val="24"/>
          <w:lang w:eastAsia="de-DE"/>
        </w:rPr>
        <w:t xml:space="preserve">beträgt generell </w:t>
      </w:r>
      <w:r>
        <w:rPr>
          <w:rFonts w:ascii="Times New Roman" w:eastAsia="Times New Roman" w:hAnsi="Times New Roman" w:cs="Times New Roman"/>
          <w:sz w:val="24"/>
          <w:szCs w:val="24"/>
          <w:lang w:eastAsia="de-DE"/>
        </w:rPr>
        <w:t>14 Tage – gezählt ab dem Symptombeginn des Primärfalles</w:t>
      </w:r>
      <w:r>
        <w:rPr>
          <w:rFonts w:ascii="Times New Roman" w:eastAsia="Times New Roman" w:hAnsi="Times New Roman" w:cs="Times New Roman"/>
          <w:sz w:val="24"/>
          <w:szCs w:val="24"/>
          <w:lang w:eastAsia="de-DE"/>
        </w:rPr>
        <w:t>.</w:t>
      </w:r>
    </w:p>
    <w:bookmarkEnd w:id="10"/>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Im Haushalt nach Möglichkeit zeitliche und räumliche Trennung der Kontaktperson von anderen Haushaltsmitgliedern. Eine „zeitliche Trennung“ kann z.B. dadurch erfolgen, dass die Mahlzeiten nicht gemeinsam, sondern nacheinander eingenommen werden. Eine räumliche Trennung kann z.B. dadurch erfolgen, dass sich die Kontaktperson in einem anderen Raum als die anderen Haushaltsmitglieder aufhält</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Häufiges Händewaschen, Einhaltung der Nies- und Hustenregeln</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War der Kontakt in relativ beengter Raumsituation oder gab es eine schwer zu überblickenden Kontaktsituation, kann eine Quarantäneanordnung für alle Personen unabhängig von der individuellen Risikoermittlung sinnvoll sein (z.B. Schulklassen oder Gruppenveranstaltungen)</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Gesundheitsüberwachung bis zum 14. Tag nach dem letzten Kontakt mit dem Quellfall in der infektiösen Periode (siehe 1.5.) auf folgende Weise:</w:t>
      </w:r>
    </w:p>
    <w:p>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Zweimal täglich Messen der Körpertemperatur durch die Kontaktperson selbst</w:t>
      </w:r>
    </w:p>
    <w:p>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Führen eines Tagebuchs durch die Kontaktperson selbst </w:t>
      </w:r>
      <w:proofErr w:type="gramStart"/>
      <w:r>
        <w:rPr>
          <w:rFonts w:ascii="Times New Roman" w:eastAsia="Times New Roman" w:hAnsi="Times New Roman" w:cs="Times New Roman"/>
          <w:sz w:val="24"/>
          <w:szCs w:val="24"/>
          <w:lang w:eastAsia="de-DE"/>
        </w:rPr>
        <w:t>bezüglich Symptomen</w:t>
      </w:r>
      <w:proofErr w:type="gramEnd"/>
      <w:r>
        <w:rPr>
          <w:rFonts w:ascii="Times New Roman" w:eastAsia="Times New Roman" w:hAnsi="Times New Roman" w:cs="Times New Roman"/>
          <w:sz w:val="24"/>
          <w:szCs w:val="24"/>
          <w:lang w:eastAsia="de-DE"/>
        </w:rPr>
        <w:t>, Körpertemperatur, und Kontakten zu weiteren Personen:</w:t>
      </w:r>
    </w:p>
    <w:p>
      <w:pPr>
        <w:numPr>
          <w:ilvl w:val="2"/>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Retrospektiv kumulativ oder, wenn möglich/erinnerlich, retrospektiv täglich (Beispiel eines „Tagebuchs“ auf den RKI-Seiten, </w:t>
      </w:r>
      <w:hyperlink r:id="rId26" w:tooltip="Empfehlungen des RKI für das Management von Kontakt­personen bei respira­torischen Erkrankungen durch das Coronavirus SARS-CoV-2"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w:t>
      </w:r>
    </w:p>
    <w:p>
      <w:pPr>
        <w:numPr>
          <w:ilvl w:val="2"/>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Prospektiv täglich.</w:t>
      </w:r>
    </w:p>
    <w:p>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Regelmäßige Information des Gesundheitsamts zu der häuslichen Quarantäne sowie über den Gesundheitszustand, in Absprache mit dem Gesundheitsamt und orientierend am Einzelfall. </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Entwickelt eine Kontaktperson innerhalb von 14 Tagen nach dem letzten Kontakt mit einem mutmaßlich infektiösen Quellfall eine</w:t>
      </w:r>
      <w:r>
        <w:rPr>
          <w:rFonts w:ascii="Times New Roman" w:eastAsia="Times New Roman" w:hAnsi="Times New Roman" w:cs="Times New Roman"/>
          <w:sz w:val="24"/>
          <w:szCs w:val="24"/>
          <w:lang w:eastAsia="de-DE"/>
        </w:rPr>
        <w:t xml:space="preserve"> S</w:t>
      </w:r>
      <w:r>
        <w:rPr>
          <w:rFonts w:ascii="Times New Roman" w:eastAsia="Times New Roman" w:hAnsi="Times New Roman" w:cs="Times New Roman"/>
          <w:b/>
          <w:bCs/>
          <w:sz w:val="24"/>
          <w:szCs w:val="24"/>
          <w:lang w:eastAsia="de-DE"/>
        </w:rPr>
        <w:t>ymptomatik vereinbar mit COVID-19</w:t>
      </w:r>
      <w:r>
        <w:rPr>
          <w:rFonts w:ascii="Times New Roman" w:eastAsia="Times New Roman" w:hAnsi="Times New Roman" w:cs="Times New Roman"/>
          <w:sz w:val="24"/>
          <w:szCs w:val="24"/>
          <w:lang w:eastAsia="de-DE"/>
        </w:rPr>
        <w:t>, so gilt sie als krankheitsverdächtig und eine weitere diagnostische Abklärung muss erfolgen. Folgender Ablauf wird empfohlen:</w:t>
      </w:r>
    </w:p>
    <w:p>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Sofortige Kontaktaufnahme der Person mit dem Gesundheitsamt zur weiteren diagnostischen Abklärung und Besprechung </w:t>
      </w:r>
      <w:proofErr w:type="gramStart"/>
      <w:r>
        <w:rPr>
          <w:rFonts w:ascii="Times New Roman" w:eastAsia="Times New Roman" w:hAnsi="Times New Roman" w:cs="Times New Roman"/>
          <w:sz w:val="24"/>
          <w:szCs w:val="24"/>
          <w:lang w:eastAsia="de-DE"/>
        </w:rPr>
        <w:t>des weiteren</w:t>
      </w:r>
      <w:proofErr w:type="gramEnd"/>
      <w:r>
        <w:rPr>
          <w:rFonts w:ascii="Times New Roman" w:eastAsia="Times New Roman" w:hAnsi="Times New Roman" w:cs="Times New Roman"/>
          <w:sz w:val="24"/>
          <w:szCs w:val="24"/>
          <w:lang w:eastAsia="de-DE"/>
        </w:rPr>
        <w:t xml:space="preserve"> Vorgehens.</w:t>
      </w:r>
    </w:p>
    <w:p>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Isolation</w:t>
      </w:r>
      <w:r>
        <w:rPr>
          <w:rFonts w:ascii="Times New Roman" w:eastAsia="Times New Roman" w:hAnsi="Times New Roman" w:cs="Times New Roman"/>
          <w:sz w:val="24"/>
          <w:szCs w:val="24"/>
          <w:lang w:eastAsia="de-DE"/>
        </w:rPr>
        <w:t xml:space="preserve"> nach Maßgabe des Gesundheitsamtes. Dies kann eine häusliche Absonderung während der weiteren diagnostischen Abklärung unter Einhaltung infektionshygienischer Maßnahmen oder eine Absonderung in einem Krankenhaus umfassen.</w:t>
      </w:r>
    </w:p>
    <w:p>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Absprache mit Gesundheitsamt ärztliche Konsultation, inklusive Diagnostik mittels einer geeigneten Atemwegsprobe gemäß den Empfehlungen des RKI zur Labordiagnostik (</w:t>
      </w:r>
      <w:hyperlink r:id="rId27" w:tooltip="covid-19-diagnostik"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und ggf. Therapie.</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Testen asymptomatischer Kontaktpersonen ist eine Einzelfallentscheidung nach Maßgabe des zuständigen Gesundheitsamts. Ein negatives Testergebnis hebt das </w:t>
      </w:r>
      <w:proofErr w:type="spellStart"/>
      <w:r>
        <w:rPr>
          <w:rFonts w:ascii="Times New Roman" w:eastAsia="Times New Roman" w:hAnsi="Times New Roman" w:cs="Times New Roman"/>
          <w:sz w:val="24"/>
          <w:szCs w:val="24"/>
          <w:lang w:eastAsia="de-DE"/>
        </w:rPr>
        <w:t>Gesundheitsmonitoring</w:t>
      </w:r>
      <w:proofErr w:type="spellEnd"/>
      <w:r>
        <w:rPr>
          <w:rFonts w:ascii="Times New Roman" w:eastAsia="Times New Roman" w:hAnsi="Times New Roman" w:cs="Times New Roman"/>
          <w:sz w:val="24"/>
          <w:szCs w:val="24"/>
          <w:lang w:eastAsia="de-DE"/>
        </w:rPr>
        <w:t xml:space="preserve"> nicht auf und ersetzt nicht eine Quarantäne</w:t>
      </w:r>
      <w:r>
        <w:rPr>
          <w:rFonts w:ascii="Times New Roman" w:eastAsia="Times New Roman" w:hAnsi="Times New Roman" w:cs="Times New Roman"/>
          <w:sz w:val="24"/>
          <w:szCs w:val="24"/>
          <w:vertAlign w:val="superscript"/>
          <w:lang w:eastAsia="de-DE"/>
        </w:rPr>
        <w:t>1</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vertAlign w:val="superscript"/>
          <w:lang w:eastAsia="de-DE"/>
        </w:rPr>
        <w:lastRenderedPageBreak/>
        <w:t>1</w:t>
      </w:r>
      <w:r>
        <w:rPr>
          <w:rFonts w:ascii="Times New Roman" w:eastAsia="Times New Roman" w:hAnsi="Times New Roman" w:cs="Times New Roman"/>
          <w:sz w:val="24"/>
          <w:szCs w:val="24"/>
          <w:lang w:eastAsia="de-DE"/>
        </w:rPr>
        <w:t xml:space="preserve"> Die Testung sollte so früh wie möglich an Tag 1 der Ermittlung erfolgen, um mögliche Kontakte der positiv getesteten asymptomatischen Kontaktpersonen rechtzeitig in die Quarantäne zu schicken. Zusätzlich sollte 5-7 Tage nach der Erstexposition ein zweiter Test erfolgen, da zu diesem Zeitpunkt die höchste Wahrscheinlichkeit für einen Erregernachweis besteht. Es ist zu betonen, dass ein negatives Testergebnis das </w:t>
      </w:r>
      <w:proofErr w:type="spellStart"/>
      <w:r>
        <w:rPr>
          <w:rFonts w:ascii="Times New Roman" w:eastAsia="Times New Roman" w:hAnsi="Times New Roman" w:cs="Times New Roman"/>
          <w:sz w:val="24"/>
          <w:szCs w:val="24"/>
          <w:lang w:eastAsia="de-DE"/>
        </w:rPr>
        <w:t>Gesundheitsmonitoring</w:t>
      </w:r>
      <w:proofErr w:type="spellEnd"/>
      <w:r>
        <w:rPr>
          <w:rFonts w:ascii="Times New Roman" w:eastAsia="Times New Roman" w:hAnsi="Times New Roman" w:cs="Times New Roman"/>
          <w:sz w:val="24"/>
          <w:szCs w:val="24"/>
          <w:lang w:eastAsia="de-DE"/>
        </w:rPr>
        <w:t xml:space="preserve"> nicht aufhebt.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nachfolgenden Tabellen sollen als Wegweiser, nicht als absolute Vorgabe dienen, um dem Gesundheitsamt im Einzelfall eine adäquate Entscheidung zu ermöglichen.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Tabelle 1: Einstufung von Kontaktpersonen als Kategorie I (KP1). (A) Auf Grund eines Kontakts im Nahfeld (&lt;1,5 m) bzw. (B) bei Aufenthalt in einem Raum mit wahrscheinlich hoher Konzentration infektiöser Aerosole - unabhängig von der Entfernung zum Quellfall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3"/>
        <w:gridCol w:w="2987"/>
        <w:gridCol w:w="4852"/>
      </w:tblGrid>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w:t>
            </w: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KP1</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Enger Kontakt (&lt;1,5 m, Nahfeld)</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Kontakt unabhängig vom Abstand * (hohe Konzentration infektiöser Aerosole im Raum)</w:t>
            </w: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Dauer</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&gt; 15 min (etwa)</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&gt;30 min (etwa*)</w:t>
            </w: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Räum</w:t>
            </w:r>
            <w:r>
              <w:rPr>
                <w:rFonts w:ascii="Times New Roman" w:eastAsia="Times New Roman" w:hAnsi="Times New Roman" w:cs="Times New Roman"/>
                <w:sz w:val="24"/>
                <w:szCs w:val="24"/>
                <w:lang w:eastAsia="de-DE"/>
              </w:rPr>
              <w:softHyphen/>
              <w:t>lichkeit</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Nicht relevant</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Innen</w:t>
            </w:r>
            <w:r>
              <w:rPr>
                <w:rFonts w:ascii="Times New Roman" w:eastAsia="Times New Roman" w:hAnsi="Times New Roman" w:cs="Times New Roman"/>
                <w:sz w:val="24"/>
                <w:szCs w:val="24"/>
                <w:lang w:eastAsia="de-DE"/>
              </w:rPr>
              <w:softHyphen/>
              <w:t xml:space="preserve">raum </w:t>
            </w:r>
            <w:r>
              <w:rPr>
                <w:rFonts w:ascii="Times New Roman" w:eastAsia="Times New Roman" w:hAnsi="Times New Roman" w:cs="Times New Roman"/>
                <w:sz w:val="24"/>
                <w:szCs w:val="24"/>
                <w:lang w:eastAsia="de-DE"/>
              </w:rPr>
              <w:br/>
              <w:t xml:space="preserve">und schlechte Lüftung </w:t>
            </w:r>
            <w:r>
              <w:rPr>
                <w:rFonts w:ascii="Times New Roman" w:eastAsia="Times New Roman" w:hAnsi="Times New Roman" w:cs="Times New Roman"/>
                <w:sz w:val="24"/>
                <w:szCs w:val="24"/>
                <w:lang w:eastAsia="de-DE"/>
              </w:rPr>
              <w:br/>
              <w:t>und längerer Auf</w:t>
            </w:r>
            <w:r>
              <w:rPr>
                <w:rFonts w:ascii="Times New Roman" w:eastAsia="Times New Roman" w:hAnsi="Times New Roman" w:cs="Times New Roman"/>
                <w:sz w:val="24"/>
                <w:szCs w:val="24"/>
                <w:lang w:eastAsia="de-DE"/>
              </w:rPr>
              <w:softHyphen/>
              <w:t>enthalt von Quellfall vor/zeitgleich mit längerem Aufenthalt von Kontakt</w:t>
            </w:r>
            <w:r>
              <w:rPr>
                <w:rFonts w:ascii="Times New Roman" w:eastAsia="Times New Roman" w:hAnsi="Times New Roman" w:cs="Times New Roman"/>
                <w:sz w:val="24"/>
                <w:szCs w:val="24"/>
                <w:lang w:eastAsia="de-DE"/>
              </w:rPr>
              <w:softHyphen/>
              <w:t>person(en)</w:t>
            </w: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Aero</w:t>
            </w:r>
            <w:r>
              <w:rPr>
                <w:rFonts w:ascii="Times New Roman" w:eastAsia="Times New Roman" w:hAnsi="Times New Roman" w:cs="Times New Roman"/>
                <w:sz w:val="24"/>
                <w:szCs w:val="24"/>
                <w:lang w:eastAsia="de-DE"/>
              </w:rPr>
              <w:softHyphen/>
              <w:t>sol</w:t>
            </w:r>
            <w:r>
              <w:rPr>
                <w:rFonts w:ascii="Times New Roman" w:eastAsia="Times New Roman" w:hAnsi="Times New Roman" w:cs="Times New Roman"/>
                <w:sz w:val="24"/>
                <w:szCs w:val="24"/>
                <w:lang w:eastAsia="de-DE"/>
              </w:rPr>
              <w:softHyphen/>
              <w:t>emission</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Singen/lautes Sprechen &gt;&gt; normales Sprechen &gt; Atmen</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Singen/lautes Sprechen &gt;&gt; normales Sprechen &gt; Atmen</w:t>
            </w:r>
          </w:p>
        </w:tc>
      </w:tr>
    </w:tbl>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Tabelle 2: Reduktion des Infektionsrisikos und Änderung der Kontakt-Kategorie (von KP 1 in KP2) durch Schutzmaßnahmen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9"/>
        <w:gridCol w:w="2976"/>
        <w:gridCol w:w="3497"/>
      </w:tblGrid>
      <w:tr>
        <w:trPr>
          <w:tblCellSpacing w:w="15" w:type="dxa"/>
        </w:trPr>
        <w:tc>
          <w:tcPr>
            <w:tcW w:w="0" w:type="auto"/>
            <w:gridSpan w:val="3"/>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Reduktion des Infektionsrisikos</w:t>
            </w:r>
          </w:p>
        </w:tc>
      </w:tr>
      <w:tr>
        <w:trPr>
          <w:tblCellSpacing w:w="15" w:type="dxa"/>
        </w:trPr>
        <w:tc>
          <w:tcPr>
            <w:tcW w:w="0" w:type="auto"/>
            <w:gridSpan w:val="3"/>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Allgemeinbevölkerung </w:t>
            </w: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Kann zu KP2 werden, wenn...</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w:t>
            </w: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MNS/MNB</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getragen wurde?</w:t>
            </w:r>
            <w:r>
              <w:rPr>
                <w:rFonts w:ascii="Times New Roman" w:eastAsia="Times New Roman" w:hAnsi="Times New Roman" w:cs="Times New Roman"/>
                <w:sz w:val="24"/>
                <w:szCs w:val="24"/>
                <w:lang w:eastAsia="de-DE"/>
              </w:rPr>
              <w:br/>
              <w:t>(in Situationen, in denen 1,5 m Mindest</w:t>
            </w:r>
            <w:r>
              <w:rPr>
                <w:rFonts w:ascii="Times New Roman" w:eastAsia="Times New Roman" w:hAnsi="Times New Roman" w:cs="Times New Roman"/>
                <w:sz w:val="24"/>
                <w:szCs w:val="24"/>
                <w:lang w:eastAsia="de-DE"/>
              </w:rPr>
              <w:softHyphen/>
              <w:t>abstand nicht eingehalten werden konnte)</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Ja, wenn Quellfall und Kontaktperson MNS oder eine MNB</w:t>
            </w:r>
            <w:r>
              <w:rPr>
                <w:rFonts w:ascii="Times New Roman" w:eastAsia="Times New Roman" w:hAnsi="Times New Roman" w:cs="Times New Roman"/>
                <w:sz w:val="24"/>
                <w:szCs w:val="24"/>
                <w:vertAlign w:val="superscript"/>
                <w:lang w:eastAsia="de-DE"/>
              </w:rPr>
              <w:t xml:space="preserve"># </w:t>
            </w:r>
            <w:r>
              <w:rPr>
                <w:rFonts w:ascii="Times New Roman" w:eastAsia="Times New Roman" w:hAnsi="Times New Roman" w:cs="Times New Roman"/>
                <w:sz w:val="24"/>
                <w:szCs w:val="24"/>
                <w:lang w:eastAsia="de-DE"/>
              </w:rPr>
              <w:t>durchgehend und korrekt tragen</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Nein, in dieser Situation ist durch Tragen eines MNS/MNB keine Änderung der Kontaktkategorie erreichbar.</w:t>
            </w:r>
          </w:p>
        </w:tc>
      </w:tr>
    </w:tbl>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Faktoren Anzahl potentiell infektiöser Personen im Raum, Lüftung/Frischluftzufuhr, Raumvolumen, Aufenthaltsdauer (von Quellfall und. Kontaktperson), Aerosolproduktion sowie Infektiosität (als Proxy: Erkrankungstag) des Quellfalls müssen gegeneinander abgewogen werden. Absolute Angaben können nicht gemacht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 wenn folgende Bedingungen erfüllt werden: (1) MNS oder eine MNB nach Definition wie bei </w:t>
      </w:r>
      <w:hyperlink r:id="rId28"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nach neuem Eurostandard (CWA 17553)) UND (2) wenn diese durchgehend und korrekt, d.h. enganliegend und sowohl über Mund und Nase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1" w:name="doc13516162bodyText9"/>
      <w:bookmarkEnd w:id="11"/>
      <w:r>
        <w:rPr>
          <w:rFonts w:ascii="Times New Roman" w:eastAsia="Times New Roman" w:hAnsi="Times New Roman" w:cs="Times New Roman"/>
          <w:b/>
          <w:bCs/>
          <w:sz w:val="27"/>
          <w:szCs w:val="27"/>
          <w:lang w:eastAsia="de-DE"/>
        </w:rPr>
        <w:t>2.2. Kontaktpersonen der Kategorie II (geringeres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Keine Exposition wie unter Kontaktkategorie I beschrieben (A, B), aber eine Exposition ist dennoch möglich.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Beispielhafte Konstellationen</w:t>
      </w:r>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b/>
          <w:bCs/>
          <w:sz w:val="24"/>
          <w:szCs w:val="24"/>
          <w:lang w:eastAsia="de-DE"/>
        </w:rPr>
        <w:t>für Kontaktpersonen der Kategorie II:</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Nahfeldexposition (&lt; 1,5 m) unter 15 Minuten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Quellfall und Kontaktperson tragen MNS oder eine MNB durchgehend und korrekt in Situationen, in denen 1,5 m Mindestabstand nicht eingehalten werden konnte. Folgende Bedingungen müssen dabei erfüllt sein: (1) MNS oder eine MNB nach Definition wie bei </w:t>
      </w:r>
      <w:hyperlink r:id="rId30"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nach neuem Eurostandard (CWA 17553)) UND (2) wenn diese durchgehend und korrekt, d.h. enganliegend und sowohl über Mund und Nase getragen wurde.</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Kurzzeitiger Aufenthalt (Anhaltswert &lt; 30 min) in einem Raum mit hoher Konzentration infektiöser Aerosole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Empfohlenes Vorgehen für das Management von Kontaktpersonen der Kategorie II</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Falls gemäß Risikoeinschätzung des Gesundheitsamtes als sinnvoll angesehen, ist optional möglich:</w:t>
      </w:r>
    </w:p>
    <w:p>
      <w:pPr>
        <w:numPr>
          <w:ilvl w:val="1"/>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Information zu COVID-19, insbesondere zu Kontaktreduktion und Vorgehen bei eintretender Symptomatik</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2" w:name="doc13516162bodyText10"/>
      <w:bookmarkStart w:id="13" w:name="doc13516162bodyText11"/>
      <w:bookmarkEnd w:id="12"/>
      <w:bookmarkEnd w:id="13"/>
      <w:r>
        <w:rPr>
          <w:rFonts w:ascii="Times New Roman" w:eastAsia="Times New Roman" w:hAnsi="Times New Roman" w:cs="Times New Roman"/>
          <w:b/>
          <w:bCs/>
          <w:sz w:val="36"/>
          <w:szCs w:val="36"/>
          <w:lang w:eastAsia="de-DE"/>
        </w:rPr>
        <w:t>Synopse Kontaktpersonenmanagement</w:t>
      </w:r>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1641"/>
        <w:gridCol w:w="1645"/>
        <w:gridCol w:w="1561"/>
        <w:gridCol w:w="1757"/>
        <w:gridCol w:w="1673"/>
        <w:gridCol w:w="30"/>
        <w:gridCol w:w="1332"/>
      </w:tblGrid>
      <w:tr>
        <w:trPr>
          <w:tblHeade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p>
        </w:tc>
        <w:tc>
          <w:tcPr>
            <w:tcW w:w="0" w:type="auto"/>
            <w:gridSpan w:val="2"/>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Kategorie I</w:t>
            </w:r>
          </w:p>
        </w:tc>
        <w:tc>
          <w:tcPr>
            <w:tcW w:w="0" w:type="auto"/>
            <w:gridSpan w:val="2"/>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Kategorie II</w:t>
            </w:r>
          </w:p>
        </w:tc>
        <w:tc>
          <w:tcPr>
            <w:tcW w:w="1317" w:type="dxa"/>
            <w:gridSpan w:val="2"/>
            <w:vAlign w:val="center"/>
            <w:hideMark/>
          </w:tcPr>
          <w:p>
            <w:pPr>
              <w:spacing w:after="0" w:line="240" w:lineRule="auto"/>
              <w:jc w:val="center"/>
              <w:rPr>
                <w:rFonts w:ascii="Times New Roman" w:eastAsia="Times New Roman" w:hAnsi="Times New Roman" w:cs="Times New Roman"/>
                <w:b/>
                <w:bCs/>
                <w:sz w:val="24"/>
                <w:szCs w:val="24"/>
                <w:lang w:eastAsia="de-DE"/>
              </w:rPr>
            </w:pP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w:t>
            </w:r>
            <w:r>
              <w:rPr>
                <w:rFonts w:ascii="Times New Roman" w:eastAsia="Times New Roman" w:hAnsi="Times New Roman" w:cs="Times New Roman"/>
                <w:sz w:val="24"/>
                <w:szCs w:val="24"/>
                <w:lang w:eastAsia="de-DE"/>
              </w:rPr>
              <w:softHyphen/>
              <w:t>fek</w:t>
            </w:r>
            <w:r>
              <w:rPr>
                <w:rFonts w:ascii="Times New Roman" w:eastAsia="Times New Roman" w:hAnsi="Times New Roman" w:cs="Times New Roman"/>
                <w:sz w:val="24"/>
                <w:szCs w:val="24"/>
                <w:lang w:eastAsia="de-DE"/>
              </w:rPr>
              <w:softHyphen/>
              <w:t>tions</w:t>
            </w:r>
            <w:r>
              <w:rPr>
                <w:rFonts w:ascii="Times New Roman" w:eastAsia="Times New Roman" w:hAnsi="Times New Roman" w:cs="Times New Roman"/>
                <w:sz w:val="24"/>
                <w:szCs w:val="24"/>
                <w:lang w:eastAsia="de-DE"/>
              </w:rPr>
              <w:softHyphen/>
              <w:t>risiko</w:t>
            </w:r>
          </w:p>
        </w:tc>
        <w:tc>
          <w:tcPr>
            <w:tcW w:w="0" w:type="auto"/>
            <w:gridSpan w:val="2"/>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w:t>
            </w:r>
          </w:p>
        </w:tc>
        <w:tc>
          <w:tcPr>
            <w:tcW w:w="0" w:type="auto"/>
            <w:gridSpan w:val="2"/>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w:t>
            </w:r>
          </w:p>
        </w:tc>
        <w:tc>
          <w:tcPr>
            <w:tcW w:w="1317" w:type="dxa"/>
            <w:gridSpan w:val="2"/>
            <w:vAlign w:val="center"/>
            <w:hideMark/>
          </w:tcPr>
          <w:p>
            <w:pPr>
              <w:spacing w:after="0" w:line="240" w:lineRule="auto"/>
              <w:rPr>
                <w:rFonts w:ascii="Times New Roman" w:eastAsia="Times New Roman" w:hAnsi="Times New Roman" w:cs="Times New Roman"/>
                <w:sz w:val="24"/>
                <w:szCs w:val="24"/>
                <w:lang w:eastAsia="de-DE"/>
              </w:rPr>
            </w:pP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Prä</w:t>
            </w:r>
            <w:r>
              <w:rPr>
                <w:rFonts w:ascii="Times New Roman" w:eastAsia="Times New Roman" w:hAnsi="Times New Roman" w:cs="Times New Roman"/>
                <w:sz w:val="24"/>
                <w:szCs w:val="24"/>
                <w:lang w:eastAsia="de-DE"/>
              </w:rPr>
              <w:softHyphen/>
              <w:t>ven</w:t>
            </w:r>
            <w:r>
              <w:rPr>
                <w:rFonts w:ascii="Times New Roman" w:eastAsia="Times New Roman" w:hAnsi="Times New Roman" w:cs="Times New Roman"/>
                <w:sz w:val="24"/>
                <w:szCs w:val="24"/>
                <w:lang w:eastAsia="de-DE"/>
              </w:rPr>
              <w:softHyphen/>
              <w:t>ti</w:t>
            </w:r>
            <w:r>
              <w:rPr>
                <w:rFonts w:ascii="Times New Roman" w:eastAsia="Times New Roman" w:hAnsi="Times New Roman" w:cs="Times New Roman"/>
                <w:sz w:val="24"/>
                <w:szCs w:val="24"/>
                <w:lang w:eastAsia="de-DE"/>
              </w:rPr>
              <w:softHyphen/>
              <w:t>ves Po</w:t>
            </w:r>
            <w:r>
              <w:rPr>
                <w:rFonts w:ascii="Times New Roman" w:eastAsia="Times New Roman" w:hAnsi="Times New Roman" w:cs="Times New Roman"/>
                <w:sz w:val="24"/>
                <w:szCs w:val="24"/>
                <w:lang w:eastAsia="de-DE"/>
              </w:rPr>
              <w:softHyphen/>
              <w:t>ten</w:t>
            </w:r>
            <w:r>
              <w:rPr>
                <w:rFonts w:ascii="Times New Roman" w:eastAsia="Times New Roman" w:hAnsi="Times New Roman" w:cs="Times New Roman"/>
                <w:sz w:val="24"/>
                <w:szCs w:val="24"/>
                <w:lang w:eastAsia="de-DE"/>
              </w:rPr>
              <w:softHyphen/>
              <w:t>zial</w:t>
            </w:r>
          </w:p>
        </w:tc>
        <w:tc>
          <w:tcPr>
            <w:tcW w:w="0" w:type="auto"/>
            <w:gridSpan w:val="2"/>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w:t>
            </w:r>
          </w:p>
        </w:tc>
        <w:tc>
          <w:tcPr>
            <w:tcW w:w="0" w:type="auto"/>
            <w:gridSpan w:val="2"/>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w:t>
            </w:r>
          </w:p>
        </w:tc>
        <w:tc>
          <w:tcPr>
            <w:tcW w:w="1317" w:type="dxa"/>
            <w:gridSpan w:val="2"/>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Art der Kontakt</w:t>
            </w:r>
            <w:r>
              <w:rPr>
                <w:rFonts w:ascii="Times New Roman" w:eastAsia="Times New Roman" w:hAnsi="Times New Roman" w:cs="Times New Roman"/>
                <w:sz w:val="24"/>
                <w:szCs w:val="24"/>
                <w:lang w:eastAsia="de-DE"/>
              </w:rPr>
              <w:softHyphen/>
              <w:t>person</w:t>
            </w:r>
          </w:p>
        </w:tc>
        <w:tc>
          <w:tcPr>
            <w:tcW w:w="0" w:type="auto"/>
            <w:gridSpan w:val="2"/>
            <w:vAlign w:val="center"/>
            <w:hideMark/>
          </w:tcPr>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 mit ≥15 Min.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 (≤1,5 m Nahfeld)</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Längere Exposition (z.B. 30 Minuten) in einem Raum mit hoher Konzentration infektiöser Aerosole</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Direkter Kontakt zu Sekreten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p>
        </w:tc>
        <w:tc>
          <w:tcPr>
            <w:tcW w:w="0" w:type="auto"/>
            <w:gridSpan w:val="2"/>
            <w:vAlign w:val="center"/>
            <w:hideMark/>
          </w:tcPr>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Per</w:t>
            </w:r>
            <w:r>
              <w:rPr>
                <w:rFonts w:ascii="Times New Roman" w:eastAsia="Times New Roman" w:hAnsi="Times New Roman" w:cs="Times New Roman"/>
                <w:sz w:val="24"/>
                <w:szCs w:val="24"/>
                <w:lang w:eastAsia="de-DE"/>
              </w:rPr>
              <w:softHyphen/>
              <w:t>so</w:t>
            </w:r>
            <w:r>
              <w:rPr>
                <w:rFonts w:ascii="Times New Roman" w:eastAsia="Times New Roman" w:hAnsi="Times New Roman" w:cs="Times New Roman"/>
                <w:sz w:val="24"/>
                <w:szCs w:val="24"/>
                <w:lang w:eastAsia="de-DE"/>
              </w:rPr>
              <w:softHyphen/>
              <w:t>nen &lt;15 Min.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 (ku</w:t>
            </w:r>
            <w:r>
              <w:rPr>
                <w:rFonts w:ascii="Times New Roman" w:eastAsia="Times New Roman" w:hAnsi="Times New Roman" w:cs="Times New Roman"/>
                <w:sz w:val="24"/>
                <w:szCs w:val="24"/>
                <w:lang w:eastAsia="de-DE"/>
              </w:rPr>
              <w:softHyphen/>
              <w:t>mu</w:t>
            </w:r>
            <w:r>
              <w:rPr>
                <w:rFonts w:ascii="Times New Roman" w:eastAsia="Times New Roman" w:hAnsi="Times New Roman" w:cs="Times New Roman"/>
                <w:sz w:val="24"/>
                <w:szCs w:val="24"/>
                <w:lang w:eastAsia="de-DE"/>
              </w:rPr>
              <w:softHyphen/>
              <w:t>la</w:t>
            </w:r>
            <w:r>
              <w:rPr>
                <w:rFonts w:ascii="Times New Roman" w:eastAsia="Times New Roman" w:hAnsi="Times New Roman" w:cs="Times New Roman"/>
                <w:sz w:val="24"/>
                <w:szCs w:val="24"/>
                <w:lang w:eastAsia="de-DE"/>
              </w:rPr>
              <w:softHyphen/>
              <w:t>tiv)</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KEINE längere Exposition (z.B. unter 30 Minuten) in einem Raum mit hoher Konzentration infektiöser Aerosole</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Quellfall und Kontakt</w:t>
            </w:r>
            <w:r>
              <w:rPr>
                <w:rFonts w:ascii="Times New Roman" w:eastAsia="Times New Roman" w:hAnsi="Times New Roman" w:cs="Times New Roman"/>
                <w:sz w:val="24"/>
                <w:szCs w:val="24"/>
                <w:lang w:eastAsia="de-DE"/>
              </w:rPr>
              <w:softHyphen/>
              <w:t>person tragen MNS oder eine MNB</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durchgehend und korrekt in </w:t>
            </w:r>
            <w:proofErr w:type="spellStart"/>
            <w:r>
              <w:rPr>
                <w:rFonts w:ascii="Times New Roman" w:eastAsia="Times New Roman" w:hAnsi="Times New Roman" w:cs="Times New Roman"/>
                <w:sz w:val="24"/>
                <w:szCs w:val="24"/>
                <w:lang w:eastAsia="de-DE"/>
              </w:rPr>
              <w:t>Situa-</w:t>
            </w:r>
            <w:r>
              <w:rPr>
                <w:rFonts w:ascii="Times New Roman" w:eastAsia="Times New Roman" w:hAnsi="Times New Roman" w:cs="Times New Roman"/>
                <w:sz w:val="24"/>
                <w:szCs w:val="24"/>
                <w:lang w:eastAsia="de-DE"/>
              </w:rPr>
              <w:lastRenderedPageBreak/>
              <w:t>tionen</w:t>
            </w:r>
            <w:proofErr w:type="spellEnd"/>
            <w:r>
              <w:rPr>
                <w:rFonts w:ascii="Times New Roman" w:eastAsia="Times New Roman" w:hAnsi="Times New Roman" w:cs="Times New Roman"/>
                <w:sz w:val="24"/>
                <w:szCs w:val="24"/>
                <w:lang w:eastAsia="de-DE"/>
              </w:rPr>
              <w:t>, in denen 1,5 m Mindest</w:t>
            </w:r>
            <w:r>
              <w:rPr>
                <w:rFonts w:ascii="Times New Roman" w:eastAsia="Times New Roman" w:hAnsi="Times New Roman" w:cs="Times New Roman"/>
                <w:sz w:val="24"/>
                <w:szCs w:val="24"/>
                <w:lang w:eastAsia="de-DE"/>
              </w:rPr>
              <w:softHyphen/>
              <w:t xml:space="preserve">abstand nicht eingehalten werden konnte  </w:t>
            </w:r>
          </w:p>
        </w:tc>
        <w:tc>
          <w:tcPr>
            <w:tcW w:w="1317" w:type="dxa"/>
            <w:gridSpan w:val="2"/>
            <w:vAlign w:val="center"/>
            <w:hideMark/>
          </w:tcPr>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 </w:t>
            </w: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w:t>
            </w:r>
            <w:r>
              <w:rPr>
                <w:rFonts w:ascii="Times New Roman" w:eastAsia="Times New Roman" w:hAnsi="Times New Roman" w:cs="Times New Roman"/>
                <w:sz w:val="24"/>
                <w:szCs w:val="24"/>
                <w:lang w:eastAsia="de-DE"/>
              </w:rPr>
              <w:softHyphen/>
              <w:t>mitt</w:t>
            </w:r>
            <w:r>
              <w:rPr>
                <w:rFonts w:ascii="Times New Roman" w:eastAsia="Times New Roman" w:hAnsi="Times New Roman" w:cs="Times New Roman"/>
                <w:sz w:val="24"/>
                <w:szCs w:val="24"/>
                <w:lang w:eastAsia="de-DE"/>
              </w:rPr>
              <w:softHyphen/>
              <w:t>lung, na</w:t>
            </w:r>
            <w:r>
              <w:rPr>
                <w:rFonts w:ascii="Times New Roman" w:eastAsia="Times New Roman" w:hAnsi="Times New Roman" w:cs="Times New Roman"/>
                <w:sz w:val="24"/>
                <w:szCs w:val="24"/>
                <w:lang w:eastAsia="de-DE"/>
              </w:rPr>
              <w:softHyphen/>
              <w:t>ment</w:t>
            </w:r>
            <w:r>
              <w:rPr>
                <w:rFonts w:ascii="Times New Roman" w:eastAsia="Times New Roman" w:hAnsi="Times New Roman" w:cs="Times New Roman"/>
                <w:sz w:val="24"/>
                <w:szCs w:val="24"/>
                <w:lang w:eastAsia="de-DE"/>
              </w:rPr>
              <w:softHyphen/>
              <w:t>liche Re</w:t>
            </w:r>
            <w:r>
              <w:rPr>
                <w:rFonts w:ascii="Times New Roman" w:eastAsia="Times New Roman" w:hAnsi="Times New Roman" w:cs="Times New Roman"/>
                <w:sz w:val="24"/>
                <w:szCs w:val="24"/>
                <w:lang w:eastAsia="de-DE"/>
              </w:rPr>
              <w:softHyphen/>
              <w:t>gistrie</w:t>
            </w:r>
            <w:r>
              <w:rPr>
                <w:rFonts w:ascii="Times New Roman" w:eastAsia="Times New Roman" w:hAnsi="Times New Roman" w:cs="Times New Roman"/>
                <w:sz w:val="24"/>
                <w:szCs w:val="24"/>
                <w:lang w:eastAsia="de-DE"/>
              </w:rPr>
              <w:softHyphen/>
              <w:t>rung durch das Gesund</w:t>
            </w:r>
            <w:r>
              <w:rPr>
                <w:rFonts w:ascii="Times New Roman" w:eastAsia="Times New Roman" w:hAnsi="Times New Roman" w:cs="Times New Roman"/>
                <w:sz w:val="24"/>
                <w:szCs w:val="24"/>
                <w:lang w:eastAsia="de-DE"/>
              </w:rPr>
              <w:softHyphen/>
              <w:t>heitsamt</w:t>
            </w:r>
          </w:p>
        </w:tc>
        <w:tc>
          <w:tcPr>
            <w:tcW w:w="0" w:type="auto"/>
            <w:gridSpan w:val="2"/>
            <w:vAlign w:val="center"/>
            <w:hideMark/>
          </w:tcPr>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Ja</w:t>
            </w:r>
          </w:p>
        </w:tc>
        <w:tc>
          <w:tcPr>
            <w:tcW w:w="0" w:type="auto"/>
            <w:gridSpan w:val="2"/>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p>
          <w:p>
            <w:pPr>
              <w:pStyle w:val="Listenabsatz"/>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Nein</w:t>
            </w:r>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p>
        </w:tc>
        <w:tc>
          <w:tcPr>
            <w:tcW w:w="1317" w:type="dxa"/>
            <w:gridSpan w:val="2"/>
            <w:vAlign w:val="center"/>
            <w:hideMark/>
          </w:tcPr>
          <w:p>
            <w:pPr>
              <w:spacing w:before="100" w:beforeAutospacing="1" w:after="100" w:afterAutospacing="1" w:line="240" w:lineRule="auto"/>
              <w:ind w:left="720"/>
              <w:rPr>
                <w:rFonts w:ascii="Times New Roman" w:eastAsia="Times New Roman" w:hAnsi="Times New Roman" w:cs="Times New Roman"/>
                <w:sz w:val="24"/>
                <w:szCs w:val="24"/>
                <w:lang w:eastAsia="de-DE"/>
              </w:rPr>
            </w:pP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 über Krank</w:t>
            </w:r>
            <w:r>
              <w:rPr>
                <w:rFonts w:ascii="Times New Roman" w:eastAsia="Times New Roman" w:hAnsi="Times New Roman" w:cs="Times New Roman"/>
                <w:sz w:val="24"/>
                <w:szCs w:val="24"/>
                <w:lang w:eastAsia="de-DE"/>
              </w:rPr>
              <w:softHyphen/>
              <w:t>heit und Über</w:t>
            </w:r>
            <w:r>
              <w:rPr>
                <w:rFonts w:ascii="Times New Roman" w:eastAsia="Times New Roman" w:hAnsi="Times New Roman" w:cs="Times New Roman"/>
                <w:sz w:val="24"/>
                <w:szCs w:val="24"/>
                <w:lang w:eastAsia="de-DE"/>
              </w:rPr>
              <w:softHyphen/>
              <w:t>tra</w:t>
            </w:r>
            <w:r>
              <w:rPr>
                <w:rFonts w:ascii="Times New Roman" w:eastAsia="Times New Roman" w:hAnsi="Times New Roman" w:cs="Times New Roman"/>
                <w:sz w:val="24"/>
                <w:szCs w:val="24"/>
                <w:lang w:eastAsia="de-DE"/>
              </w:rPr>
              <w:softHyphen/>
              <w:t>gung</w:t>
            </w:r>
          </w:p>
        </w:tc>
        <w:tc>
          <w:tcPr>
            <w:tcW w:w="0" w:type="auto"/>
            <w:gridSpan w:val="2"/>
            <w:vAlign w:val="center"/>
            <w:hideMark/>
          </w:tcPr>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Ja</w:t>
            </w:r>
          </w:p>
        </w:tc>
        <w:tc>
          <w:tcPr>
            <w:tcW w:w="0" w:type="auto"/>
            <w:gridSpan w:val="2"/>
            <w:vAlign w:val="center"/>
            <w:hideMark/>
          </w:tcPr>
          <w:p>
            <w:pPr>
              <w:pStyle w:val="Listenabsatz"/>
              <w:numPr>
                <w:ilvl w:val="1"/>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Optional</w:t>
            </w:r>
          </w:p>
        </w:tc>
        <w:tc>
          <w:tcPr>
            <w:tcW w:w="1317" w:type="dxa"/>
            <w:gridSpan w:val="2"/>
            <w:vAlign w:val="center"/>
            <w:hideMark/>
          </w:tcPr>
          <w:p>
            <w:pPr>
              <w:spacing w:before="100" w:beforeAutospacing="1" w:after="100" w:afterAutospacing="1" w:line="240" w:lineRule="auto"/>
              <w:ind w:left="720"/>
              <w:rPr>
                <w:rFonts w:ascii="Times New Roman" w:eastAsia="Times New Roman" w:hAnsi="Times New Roman" w:cs="Times New Roman"/>
                <w:sz w:val="24"/>
                <w:szCs w:val="24"/>
                <w:lang w:eastAsia="de-DE"/>
              </w:rPr>
            </w:pPr>
          </w:p>
          <w:p>
            <w:pPr>
              <w:spacing w:before="100" w:beforeAutospacing="1" w:after="100" w:afterAutospacing="1" w:line="240" w:lineRule="auto"/>
              <w:ind w:left="720"/>
              <w:rPr>
                <w:rFonts w:ascii="Times New Roman" w:eastAsia="Times New Roman" w:hAnsi="Times New Roman" w:cs="Times New Roman"/>
                <w:sz w:val="24"/>
                <w:szCs w:val="24"/>
                <w:lang w:eastAsia="de-DE"/>
              </w:rPr>
            </w:pPr>
          </w:p>
          <w:p>
            <w:pPr>
              <w:spacing w:before="100" w:beforeAutospacing="1" w:after="100" w:afterAutospacing="1" w:line="240" w:lineRule="auto"/>
              <w:ind w:left="720"/>
              <w:rPr>
                <w:rFonts w:ascii="Times New Roman" w:eastAsia="Times New Roman" w:hAnsi="Times New Roman" w:cs="Times New Roman"/>
                <w:sz w:val="24"/>
                <w:szCs w:val="24"/>
                <w:lang w:eastAsia="de-DE"/>
              </w:rPr>
            </w:pPr>
          </w:p>
          <w:p>
            <w:pPr>
              <w:spacing w:before="100" w:beforeAutospacing="1" w:after="100" w:afterAutospacing="1" w:line="240" w:lineRule="auto"/>
              <w:ind w:left="720"/>
              <w:rPr>
                <w:rFonts w:ascii="Times New Roman" w:eastAsia="Times New Roman" w:hAnsi="Times New Roman" w:cs="Times New Roman"/>
                <w:sz w:val="24"/>
                <w:szCs w:val="24"/>
                <w:lang w:eastAsia="de-DE"/>
              </w:rPr>
            </w:pPr>
          </w:p>
          <w:p>
            <w:pPr>
              <w:spacing w:before="100" w:beforeAutospacing="1" w:after="100" w:afterAutospacing="1" w:line="240" w:lineRule="auto"/>
              <w:ind w:left="720"/>
              <w:rPr>
                <w:rFonts w:ascii="Times New Roman" w:eastAsia="Times New Roman" w:hAnsi="Times New Roman" w:cs="Times New Roman"/>
                <w:sz w:val="24"/>
                <w:szCs w:val="24"/>
                <w:lang w:eastAsia="de-DE"/>
              </w:rPr>
            </w:pP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Kontakt</w:t>
            </w:r>
            <w:r>
              <w:rPr>
                <w:rFonts w:ascii="Times New Roman" w:eastAsia="Times New Roman" w:hAnsi="Times New Roman" w:cs="Times New Roman"/>
                <w:sz w:val="24"/>
                <w:szCs w:val="24"/>
                <w:lang w:eastAsia="de-DE"/>
              </w:rPr>
              <w:softHyphen/>
              <w:t>re</w:t>
            </w:r>
            <w:r>
              <w:rPr>
                <w:rFonts w:ascii="Times New Roman" w:eastAsia="Times New Roman" w:hAnsi="Times New Roman" w:cs="Times New Roman"/>
                <w:sz w:val="24"/>
                <w:szCs w:val="24"/>
                <w:lang w:eastAsia="de-DE"/>
              </w:rPr>
              <w:softHyphen/>
              <w:t>duk</w:t>
            </w:r>
            <w:r>
              <w:rPr>
                <w:rFonts w:ascii="Times New Roman" w:eastAsia="Times New Roman" w:hAnsi="Times New Roman" w:cs="Times New Roman"/>
                <w:sz w:val="24"/>
                <w:szCs w:val="24"/>
                <w:lang w:eastAsia="de-DE"/>
              </w:rPr>
              <w:softHyphen/>
              <w:t>tion erforderlich?</w:t>
            </w:r>
          </w:p>
        </w:tc>
        <w:tc>
          <w:tcPr>
            <w:tcW w:w="0" w:type="auto"/>
            <w:gridSpan w:val="2"/>
            <w:vAlign w:val="center"/>
            <w:hideMark/>
          </w:tcPr>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häus</w:t>
            </w:r>
            <w:r>
              <w:rPr>
                <w:rFonts w:ascii="Times New Roman" w:eastAsia="Times New Roman" w:hAnsi="Times New Roman" w:cs="Times New Roman"/>
                <w:sz w:val="24"/>
                <w:szCs w:val="24"/>
                <w:lang w:eastAsia="de-DE"/>
              </w:rPr>
              <w:softHyphen/>
              <w:t>liche Ab</w:t>
            </w:r>
            <w:r>
              <w:rPr>
                <w:rFonts w:ascii="Times New Roman" w:eastAsia="Times New Roman" w:hAnsi="Times New Roman" w:cs="Times New Roman"/>
                <w:sz w:val="24"/>
                <w:szCs w:val="24"/>
                <w:lang w:eastAsia="de-DE"/>
              </w:rPr>
              <w:softHyphen/>
              <w:t>son</w:t>
            </w:r>
            <w:r>
              <w:rPr>
                <w:rFonts w:ascii="Times New Roman" w:eastAsia="Times New Roman" w:hAnsi="Times New Roman" w:cs="Times New Roman"/>
                <w:sz w:val="24"/>
                <w:szCs w:val="24"/>
                <w:lang w:eastAsia="de-DE"/>
              </w:rPr>
              <w:softHyphen/>
              <w:t>derung (Quarantäne) unter Ab</w:t>
            </w:r>
            <w:r>
              <w:rPr>
                <w:rFonts w:ascii="Times New Roman" w:eastAsia="Times New Roman" w:hAnsi="Times New Roman" w:cs="Times New Roman"/>
                <w:sz w:val="24"/>
                <w:szCs w:val="24"/>
                <w:lang w:eastAsia="de-DE"/>
              </w:rPr>
              <w:softHyphen/>
              <w:t>wä</w:t>
            </w:r>
            <w:r>
              <w:rPr>
                <w:rFonts w:ascii="Times New Roman" w:eastAsia="Times New Roman" w:hAnsi="Times New Roman" w:cs="Times New Roman"/>
                <w:sz w:val="24"/>
                <w:szCs w:val="24"/>
                <w:lang w:eastAsia="de-DE"/>
              </w:rPr>
              <w:softHyphen/>
              <w:t>gung der Mög</w:t>
            </w:r>
            <w:r>
              <w:rPr>
                <w:rFonts w:ascii="Times New Roman" w:eastAsia="Times New Roman" w:hAnsi="Times New Roman" w:cs="Times New Roman"/>
                <w:sz w:val="24"/>
                <w:szCs w:val="24"/>
                <w:lang w:eastAsia="de-DE"/>
              </w:rPr>
              <w:softHyphen/>
              <w:t>lich</w:t>
            </w:r>
            <w:r>
              <w:rPr>
                <w:rFonts w:ascii="Times New Roman" w:eastAsia="Times New Roman" w:hAnsi="Times New Roman" w:cs="Times New Roman"/>
                <w:sz w:val="24"/>
                <w:szCs w:val="24"/>
                <w:lang w:eastAsia="de-DE"/>
              </w:rPr>
              <w:softHyphen/>
              <w:t>keiten und nach Risiko</w:t>
            </w:r>
            <w:r>
              <w:rPr>
                <w:rFonts w:ascii="Times New Roman" w:eastAsia="Times New Roman" w:hAnsi="Times New Roman" w:cs="Times New Roman"/>
                <w:sz w:val="24"/>
                <w:szCs w:val="24"/>
                <w:lang w:eastAsia="de-DE"/>
              </w:rPr>
              <w:softHyphen/>
              <w:t>bewer</w:t>
            </w:r>
            <w:r>
              <w:rPr>
                <w:rFonts w:ascii="Times New Roman" w:eastAsia="Times New Roman" w:hAnsi="Times New Roman" w:cs="Times New Roman"/>
                <w:sz w:val="24"/>
                <w:szCs w:val="24"/>
                <w:lang w:eastAsia="de-DE"/>
              </w:rPr>
              <w:softHyphen/>
              <w:t>tung des Gesund</w:t>
            </w:r>
            <w:r>
              <w:rPr>
                <w:rFonts w:ascii="Times New Roman" w:eastAsia="Times New Roman" w:hAnsi="Times New Roman" w:cs="Times New Roman"/>
                <w:sz w:val="24"/>
                <w:szCs w:val="24"/>
                <w:lang w:eastAsia="de-DE"/>
              </w:rPr>
              <w:softHyphen/>
              <w:t>heits</w:t>
            </w:r>
            <w:r>
              <w:rPr>
                <w:rFonts w:ascii="Times New Roman" w:eastAsia="Times New Roman" w:hAnsi="Times New Roman" w:cs="Times New Roman"/>
                <w:sz w:val="24"/>
                <w:szCs w:val="24"/>
                <w:lang w:eastAsia="de-DE"/>
              </w:rPr>
              <w:softHyphen/>
              <w:t>amtes (GA)</w:t>
            </w:r>
          </w:p>
          <w:p>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gridSpan w:val="2"/>
            <w:vAlign w:val="center"/>
            <w:hideMark/>
          </w:tcPr>
          <w:p>
            <w:pPr>
              <w:pStyle w:val="Listenabsatz"/>
              <w:numPr>
                <w:ilvl w:val="1"/>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Ja</w:t>
            </w:r>
          </w:p>
        </w:tc>
        <w:tc>
          <w:tcPr>
            <w:tcW w:w="1317" w:type="dxa"/>
            <w:gridSpan w:val="2"/>
            <w:vAlign w:val="center"/>
            <w:hideMark/>
          </w:tcPr>
          <w:p>
            <w:pPr>
              <w:spacing w:before="100" w:beforeAutospacing="1" w:after="100" w:afterAutospacing="1" w:line="240" w:lineRule="auto"/>
              <w:ind w:left="720"/>
              <w:rPr>
                <w:rFonts w:ascii="Times New Roman" w:eastAsia="Times New Roman" w:hAnsi="Times New Roman" w:cs="Times New Roman"/>
                <w:sz w:val="24"/>
                <w:szCs w:val="24"/>
                <w:lang w:eastAsia="de-DE"/>
              </w:rPr>
            </w:pP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Gesund</w:t>
            </w:r>
            <w:r>
              <w:rPr>
                <w:rFonts w:ascii="Times New Roman" w:eastAsia="Times New Roman" w:hAnsi="Times New Roman" w:cs="Times New Roman"/>
                <w:sz w:val="24"/>
                <w:szCs w:val="24"/>
                <w:lang w:eastAsia="de-DE"/>
              </w:rPr>
              <w:softHyphen/>
              <w:t>heits</w:t>
            </w:r>
            <w:r>
              <w:rPr>
                <w:rFonts w:ascii="Times New Roman" w:eastAsia="Times New Roman" w:hAnsi="Times New Roman" w:cs="Times New Roman"/>
                <w:sz w:val="24"/>
                <w:szCs w:val="24"/>
                <w:lang w:eastAsia="de-DE"/>
              </w:rPr>
              <w:softHyphen/>
              <w:t>über</w:t>
            </w:r>
            <w:r>
              <w:rPr>
                <w:rFonts w:ascii="Times New Roman" w:eastAsia="Times New Roman" w:hAnsi="Times New Roman" w:cs="Times New Roman"/>
                <w:sz w:val="24"/>
                <w:szCs w:val="24"/>
                <w:lang w:eastAsia="de-DE"/>
              </w:rPr>
              <w:softHyphen/>
              <w:t>wachung</w:t>
            </w:r>
          </w:p>
        </w:tc>
        <w:tc>
          <w:tcPr>
            <w:tcW w:w="0" w:type="auto"/>
            <w:gridSpan w:val="2"/>
            <w:vAlign w:val="center"/>
            <w:hideMark/>
          </w:tcPr>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Regelmäßiger Kontakt mit Gesundheitsamt</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2x täglich Messung der Körper</w:t>
            </w:r>
            <w:r>
              <w:rPr>
                <w:rFonts w:ascii="Times New Roman" w:eastAsia="Times New Roman" w:hAnsi="Times New Roman" w:cs="Times New Roman"/>
                <w:sz w:val="24"/>
                <w:szCs w:val="24"/>
                <w:lang w:eastAsia="de-DE"/>
              </w:rPr>
              <w:softHyphen/>
              <w:t>tem</w:t>
            </w:r>
            <w:r>
              <w:rPr>
                <w:rFonts w:ascii="Times New Roman" w:eastAsia="Times New Roman" w:hAnsi="Times New Roman" w:cs="Times New Roman"/>
                <w:sz w:val="24"/>
                <w:szCs w:val="24"/>
                <w:lang w:eastAsia="de-DE"/>
              </w:rPr>
              <w:softHyphen/>
              <w:t>pera</w:t>
            </w:r>
            <w:r>
              <w:rPr>
                <w:rFonts w:ascii="Times New Roman" w:eastAsia="Times New Roman" w:hAnsi="Times New Roman" w:cs="Times New Roman"/>
                <w:sz w:val="24"/>
                <w:szCs w:val="24"/>
                <w:lang w:eastAsia="de-DE"/>
              </w:rPr>
              <w:softHyphen/>
              <w:t>tur, Tage</w:t>
            </w:r>
            <w:r>
              <w:rPr>
                <w:rFonts w:ascii="Times New Roman" w:eastAsia="Times New Roman" w:hAnsi="Times New Roman" w:cs="Times New Roman"/>
                <w:sz w:val="24"/>
                <w:szCs w:val="24"/>
                <w:lang w:eastAsia="de-DE"/>
              </w:rPr>
              <w:softHyphen/>
              <w:t>buch zu Sympto</w:t>
            </w:r>
            <w:r>
              <w:rPr>
                <w:rFonts w:ascii="Times New Roman" w:eastAsia="Times New Roman" w:hAnsi="Times New Roman" w:cs="Times New Roman"/>
                <w:sz w:val="24"/>
                <w:szCs w:val="24"/>
                <w:lang w:eastAsia="de-DE"/>
              </w:rPr>
              <w:softHyphen/>
              <w:t>men</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 Auf</w:t>
            </w:r>
            <w:r>
              <w:rPr>
                <w:rFonts w:ascii="Times New Roman" w:eastAsia="Times New Roman" w:hAnsi="Times New Roman" w:cs="Times New Roman"/>
                <w:sz w:val="24"/>
                <w:szCs w:val="24"/>
                <w:lang w:eastAsia="de-DE"/>
              </w:rPr>
              <w:softHyphen/>
              <w:t>treten einer Sympto</w:t>
            </w:r>
            <w:r>
              <w:rPr>
                <w:rFonts w:ascii="Times New Roman" w:eastAsia="Times New Roman" w:hAnsi="Times New Roman" w:cs="Times New Roman"/>
                <w:sz w:val="24"/>
                <w:szCs w:val="24"/>
                <w:lang w:eastAsia="de-DE"/>
              </w:rPr>
              <w:softHyphen/>
              <w:t>ma</w:t>
            </w:r>
            <w:r>
              <w:rPr>
                <w:rFonts w:ascii="Times New Roman" w:eastAsia="Times New Roman" w:hAnsi="Times New Roman" w:cs="Times New Roman"/>
                <w:sz w:val="24"/>
                <w:szCs w:val="24"/>
                <w:lang w:eastAsia="de-DE"/>
              </w:rPr>
              <w:softHyphen/>
              <w:t>tik:</w:t>
            </w:r>
          </w:p>
          <w:p>
            <w:pPr>
              <w:numPr>
                <w:ilvl w:val="1"/>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sofor</w:t>
            </w:r>
            <w:r>
              <w:rPr>
                <w:rFonts w:ascii="Times New Roman" w:eastAsia="Times New Roman" w:hAnsi="Times New Roman" w:cs="Times New Roman"/>
                <w:sz w:val="24"/>
                <w:szCs w:val="24"/>
                <w:lang w:eastAsia="de-DE"/>
              </w:rPr>
              <w:softHyphen/>
              <w:t>tiger Kontakt zu GA</w:t>
            </w:r>
          </w:p>
          <w:p>
            <w:pPr>
              <w:numPr>
                <w:ilvl w:val="1"/>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Isolation gemäß GA</w:t>
            </w:r>
          </w:p>
          <w:p>
            <w:pPr>
              <w:numPr>
                <w:ilvl w:val="1"/>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Retro- und prospektiv Kontakt</w:t>
            </w:r>
            <w:r>
              <w:rPr>
                <w:rFonts w:ascii="Times New Roman" w:eastAsia="Times New Roman" w:hAnsi="Times New Roman" w:cs="Times New Roman"/>
                <w:sz w:val="24"/>
                <w:szCs w:val="24"/>
                <w:lang w:eastAsia="de-DE"/>
              </w:rPr>
              <w:softHyphen/>
              <w:t>per</w:t>
            </w:r>
            <w:r>
              <w:rPr>
                <w:rFonts w:ascii="Times New Roman" w:eastAsia="Times New Roman" w:hAnsi="Times New Roman" w:cs="Times New Roman"/>
                <w:sz w:val="24"/>
                <w:szCs w:val="24"/>
                <w:lang w:eastAsia="de-DE"/>
              </w:rPr>
              <w:softHyphen/>
              <w:t>sonen no</w:t>
            </w:r>
            <w:r>
              <w:rPr>
                <w:rFonts w:ascii="Times New Roman" w:eastAsia="Times New Roman" w:hAnsi="Times New Roman" w:cs="Times New Roman"/>
                <w:sz w:val="24"/>
                <w:szCs w:val="24"/>
                <w:lang w:eastAsia="de-DE"/>
              </w:rPr>
              <w:softHyphen/>
              <w:t>tieren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p>
        </w:tc>
        <w:tc>
          <w:tcPr>
            <w:tcW w:w="0" w:type="auto"/>
            <w:gridSpan w:val="2"/>
            <w:vAlign w:val="center"/>
            <w:hideMark/>
          </w:tcPr>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ab Auf</w:t>
            </w:r>
            <w:r>
              <w:rPr>
                <w:rFonts w:ascii="Times New Roman" w:eastAsia="Times New Roman" w:hAnsi="Times New Roman" w:cs="Times New Roman"/>
                <w:sz w:val="24"/>
                <w:szCs w:val="24"/>
                <w:lang w:eastAsia="de-DE"/>
              </w:rPr>
              <w:softHyphen/>
              <w:t xml:space="preserve">treten einer </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Sympto</w:t>
            </w:r>
            <w:r>
              <w:rPr>
                <w:rFonts w:ascii="Times New Roman" w:eastAsia="Times New Roman" w:hAnsi="Times New Roman" w:cs="Times New Roman"/>
                <w:sz w:val="24"/>
                <w:szCs w:val="24"/>
                <w:lang w:eastAsia="de-DE"/>
              </w:rPr>
              <w:softHyphen/>
              <w:t>ma</w:t>
            </w:r>
            <w:r>
              <w:rPr>
                <w:rFonts w:ascii="Times New Roman" w:eastAsia="Times New Roman" w:hAnsi="Times New Roman" w:cs="Times New Roman"/>
                <w:sz w:val="24"/>
                <w:szCs w:val="24"/>
                <w:lang w:eastAsia="de-DE"/>
              </w:rPr>
              <w:softHyphen/>
              <w:t>tik:</w:t>
            </w:r>
          </w:p>
          <w:p>
            <w:pPr>
              <w:numPr>
                <w:ilvl w:val="1"/>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sofor</w:t>
            </w:r>
            <w:r>
              <w:rPr>
                <w:rFonts w:ascii="Times New Roman" w:eastAsia="Times New Roman" w:hAnsi="Times New Roman" w:cs="Times New Roman"/>
                <w:sz w:val="24"/>
                <w:szCs w:val="24"/>
                <w:lang w:eastAsia="de-DE"/>
              </w:rPr>
              <w:softHyphen/>
              <w:t>tiger Kontakt zu GA</w:t>
            </w:r>
          </w:p>
          <w:p>
            <w:pPr>
              <w:numPr>
                <w:ilvl w:val="1"/>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Isolation gemäß GA</w:t>
            </w:r>
          </w:p>
          <w:p>
            <w:pPr>
              <w:numPr>
                <w:ilvl w:val="1"/>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Retro- und prospektiv Kontakt</w:t>
            </w:r>
            <w:r>
              <w:rPr>
                <w:rFonts w:ascii="Times New Roman" w:eastAsia="Times New Roman" w:hAnsi="Times New Roman" w:cs="Times New Roman"/>
                <w:sz w:val="24"/>
                <w:szCs w:val="24"/>
                <w:lang w:eastAsia="de-DE"/>
              </w:rPr>
              <w:softHyphen/>
              <w:t>per</w:t>
            </w:r>
            <w:r>
              <w:rPr>
                <w:rFonts w:ascii="Times New Roman" w:eastAsia="Times New Roman" w:hAnsi="Times New Roman" w:cs="Times New Roman"/>
                <w:sz w:val="24"/>
                <w:szCs w:val="24"/>
                <w:lang w:eastAsia="de-DE"/>
              </w:rPr>
              <w:softHyphen/>
              <w:t>sonen no</w:t>
            </w:r>
            <w:r>
              <w:rPr>
                <w:rFonts w:ascii="Times New Roman" w:eastAsia="Times New Roman" w:hAnsi="Times New Roman" w:cs="Times New Roman"/>
                <w:sz w:val="24"/>
                <w:szCs w:val="24"/>
                <w:lang w:eastAsia="de-DE"/>
              </w:rPr>
              <w:softHyphen/>
              <w:t>tieren</w:t>
            </w:r>
          </w:p>
        </w:tc>
        <w:tc>
          <w:tcPr>
            <w:tcW w:w="1317" w:type="dxa"/>
            <w:gridSpan w:val="2"/>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w:t>
            </w:r>
          </w:p>
          <w:p>
            <w:pPr>
              <w:numPr>
                <w:ilvl w:val="1"/>
                <w:numId w:val="27"/>
              </w:numPr>
              <w:spacing w:before="100" w:beforeAutospacing="1" w:after="100" w:afterAutospacing="1" w:line="240" w:lineRule="auto"/>
              <w:rPr>
                <w:rFonts w:ascii="Times New Roman" w:eastAsia="Times New Roman" w:hAnsi="Times New Roman" w:cs="Times New Roman"/>
                <w:sz w:val="24"/>
                <w:szCs w:val="24"/>
                <w:lang w:eastAsia="de-DE"/>
              </w:rPr>
            </w:pPr>
          </w:p>
        </w:tc>
      </w:tr>
      <w:tr>
        <w:trPr>
          <w:tblCellSpacing w:w="15" w:type="dxa"/>
        </w:trPr>
        <w:tc>
          <w:tcPr>
            <w:tcW w:w="0" w:type="auto"/>
            <w:gridSpan w:val="2"/>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Testung</w:t>
            </w:r>
          </w:p>
        </w:tc>
        <w:tc>
          <w:tcPr>
            <w:tcW w:w="0" w:type="auto"/>
            <w:gridSpan w:val="2"/>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Testung sympto</w:t>
            </w:r>
            <w:r>
              <w:rPr>
                <w:rFonts w:ascii="Times New Roman" w:eastAsia="Times New Roman" w:hAnsi="Times New Roman" w:cs="Times New Roman"/>
                <w:sz w:val="24"/>
                <w:szCs w:val="24"/>
                <w:lang w:eastAsia="de-DE"/>
              </w:rPr>
              <w:softHyphen/>
              <w:t>matischer Kontakt</w:t>
            </w:r>
            <w:r>
              <w:rPr>
                <w:rFonts w:ascii="Times New Roman" w:eastAsia="Times New Roman" w:hAnsi="Times New Roman" w:cs="Times New Roman"/>
                <w:sz w:val="24"/>
                <w:szCs w:val="24"/>
                <w:lang w:eastAsia="de-DE"/>
              </w:rPr>
              <w:softHyphen/>
              <w: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Testung asympto</w:t>
            </w:r>
            <w:r>
              <w:rPr>
                <w:rFonts w:ascii="Times New Roman" w:eastAsia="Times New Roman" w:hAnsi="Times New Roman" w:cs="Times New Roman"/>
                <w:sz w:val="24"/>
                <w:szCs w:val="24"/>
                <w:lang w:eastAsia="de-DE"/>
              </w:rPr>
              <w:softHyphen/>
              <w:t>matischer Kontakt</w:t>
            </w:r>
            <w:r>
              <w:rPr>
                <w:rFonts w:ascii="Times New Roman" w:eastAsia="Times New Roman" w:hAnsi="Times New Roman" w:cs="Times New Roman"/>
                <w:sz w:val="24"/>
                <w:szCs w:val="24"/>
                <w:lang w:eastAsia="de-DE"/>
              </w:rPr>
              <w:softHyphen/>
              <w:t>personen ist eine Einzel</w:t>
            </w:r>
            <w:r>
              <w:rPr>
                <w:rFonts w:ascii="Times New Roman" w:eastAsia="Times New Roman" w:hAnsi="Times New Roman" w:cs="Times New Roman"/>
                <w:sz w:val="24"/>
                <w:szCs w:val="24"/>
                <w:lang w:eastAsia="de-DE"/>
              </w:rPr>
              <w:softHyphen/>
              <w:t>fall</w:t>
            </w:r>
            <w:r>
              <w:rPr>
                <w:rFonts w:ascii="Times New Roman" w:eastAsia="Times New Roman" w:hAnsi="Times New Roman" w:cs="Times New Roman"/>
                <w:sz w:val="24"/>
                <w:szCs w:val="24"/>
                <w:lang w:eastAsia="de-DE"/>
              </w:rPr>
              <w:softHyphen/>
              <w:t xml:space="preserve">entscheidung </w:t>
            </w:r>
          </w:p>
        </w:tc>
        <w:tc>
          <w:tcPr>
            <w:tcW w:w="0" w:type="auto"/>
            <w:gridSpan w:val="2"/>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Testung sympto</w:t>
            </w:r>
            <w:r>
              <w:rPr>
                <w:rFonts w:ascii="Times New Roman" w:eastAsia="Times New Roman" w:hAnsi="Times New Roman" w:cs="Times New Roman"/>
                <w:sz w:val="24"/>
                <w:szCs w:val="24"/>
                <w:lang w:eastAsia="de-DE"/>
              </w:rPr>
              <w:softHyphen/>
              <w:t>matischer Kontakt</w:t>
            </w:r>
            <w:r>
              <w:rPr>
                <w:rFonts w:ascii="Times New Roman" w:eastAsia="Times New Roman" w:hAnsi="Times New Roman" w:cs="Times New Roman"/>
                <w:sz w:val="24"/>
                <w:szCs w:val="24"/>
                <w:lang w:eastAsia="de-DE"/>
              </w:rPr>
              <w:softHyphen/>
              <w:t>personen</w:t>
            </w:r>
          </w:p>
        </w:tc>
        <w:tc>
          <w:tcPr>
            <w:tcW w:w="1287" w:type="dxa"/>
            <w:vAlign w:val="center"/>
            <w:hideMark/>
          </w:tcPr>
          <w:p>
            <w:pPr>
              <w:spacing w:before="100" w:beforeAutospacing="1" w:after="100" w:afterAutospacing="1" w:line="240" w:lineRule="auto"/>
              <w:ind w:left="360"/>
              <w:rPr>
                <w:rFonts w:ascii="Times New Roman" w:eastAsia="Times New Roman" w:hAnsi="Times New Roman" w:cs="Times New Roman"/>
                <w:sz w:val="24"/>
                <w:szCs w:val="24"/>
                <w:lang w:eastAsia="de-DE"/>
              </w:rPr>
            </w:pPr>
          </w:p>
        </w:tc>
      </w:tr>
    </w:tbl>
    <w:p>
      <w:pPr>
        <w:rPr>
          <w:lang w:val="en-US"/>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7DF"/>
    <w:multiLevelType w:val="multilevel"/>
    <w:tmpl w:val="8CF2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B5361"/>
    <w:multiLevelType w:val="multilevel"/>
    <w:tmpl w:val="F60C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A04F7"/>
    <w:multiLevelType w:val="multilevel"/>
    <w:tmpl w:val="6F02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E2388"/>
    <w:multiLevelType w:val="multilevel"/>
    <w:tmpl w:val="A5C4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926BE"/>
    <w:multiLevelType w:val="multilevel"/>
    <w:tmpl w:val="F4AE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4457C"/>
    <w:multiLevelType w:val="multilevel"/>
    <w:tmpl w:val="D590A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B59BD"/>
    <w:multiLevelType w:val="multilevel"/>
    <w:tmpl w:val="CD02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3065E"/>
    <w:multiLevelType w:val="multilevel"/>
    <w:tmpl w:val="E01E7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66F18"/>
    <w:multiLevelType w:val="multilevel"/>
    <w:tmpl w:val="5B6CC0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A4DEE"/>
    <w:multiLevelType w:val="multilevel"/>
    <w:tmpl w:val="E3DA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512F9"/>
    <w:multiLevelType w:val="multilevel"/>
    <w:tmpl w:val="097C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B00CB"/>
    <w:multiLevelType w:val="multilevel"/>
    <w:tmpl w:val="486855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B59DF"/>
    <w:multiLevelType w:val="multilevel"/>
    <w:tmpl w:val="07F0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75416"/>
    <w:multiLevelType w:val="multilevel"/>
    <w:tmpl w:val="27E03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B94D15"/>
    <w:multiLevelType w:val="multilevel"/>
    <w:tmpl w:val="B80C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2483E"/>
    <w:multiLevelType w:val="multilevel"/>
    <w:tmpl w:val="4C361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8362F2"/>
    <w:multiLevelType w:val="multilevel"/>
    <w:tmpl w:val="3842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C108C4"/>
    <w:multiLevelType w:val="multilevel"/>
    <w:tmpl w:val="0148A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972C14"/>
    <w:multiLevelType w:val="multilevel"/>
    <w:tmpl w:val="83A2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FF3A8B"/>
    <w:multiLevelType w:val="multilevel"/>
    <w:tmpl w:val="3DFE9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183F12"/>
    <w:multiLevelType w:val="multilevel"/>
    <w:tmpl w:val="8F68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3E789A"/>
    <w:multiLevelType w:val="multilevel"/>
    <w:tmpl w:val="F4D2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0A0E49"/>
    <w:multiLevelType w:val="multilevel"/>
    <w:tmpl w:val="7F78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9273AF"/>
    <w:multiLevelType w:val="multilevel"/>
    <w:tmpl w:val="97D07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18306D"/>
    <w:multiLevelType w:val="multilevel"/>
    <w:tmpl w:val="1AE4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AB68A2"/>
    <w:multiLevelType w:val="multilevel"/>
    <w:tmpl w:val="1D60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D70E3C"/>
    <w:multiLevelType w:val="multilevel"/>
    <w:tmpl w:val="AC9A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871F57"/>
    <w:multiLevelType w:val="multilevel"/>
    <w:tmpl w:val="149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A670F9"/>
    <w:multiLevelType w:val="multilevel"/>
    <w:tmpl w:val="A13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AF6B9C"/>
    <w:multiLevelType w:val="multilevel"/>
    <w:tmpl w:val="04EE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8E53DD"/>
    <w:multiLevelType w:val="multilevel"/>
    <w:tmpl w:val="264A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582B11"/>
    <w:multiLevelType w:val="multilevel"/>
    <w:tmpl w:val="E08E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158AA"/>
    <w:multiLevelType w:val="multilevel"/>
    <w:tmpl w:val="6BA8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7475CF"/>
    <w:multiLevelType w:val="multilevel"/>
    <w:tmpl w:val="8BB05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09050F"/>
    <w:multiLevelType w:val="multilevel"/>
    <w:tmpl w:val="8E828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D91B29"/>
    <w:multiLevelType w:val="multilevel"/>
    <w:tmpl w:val="6B48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21"/>
  </w:num>
  <w:num w:numId="4">
    <w:abstractNumId w:val="34"/>
  </w:num>
  <w:num w:numId="5">
    <w:abstractNumId w:val="4"/>
  </w:num>
  <w:num w:numId="6">
    <w:abstractNumId w:val="1"/>
  </w:num>
  <w:num w:numId="7">
    <w:abstractNumId w:val="23"/>
  </w:num>
  <w:num w:numId="8">
    <w:abstractNumId w:val="16"/>
  </w:num>
  <w:num w:numId="9">
    <w:abstractNumId w:val="33"/>
  </w:num>
  <w:num w:numId="10">
    <w:abstractNumId w:val="27"/>
  </w:num>
  <w:num w:numId="11">
    <w:abstractNumId w:val="6"/>
  </w:num>
  <w:num w:numId="12">
    <w:abstractNumId w:val="35"/>
  </w:num>
  <w:num w:numId="13">
    <w:abstractNumId w:val="10"/>
  </w:num>
  <w:num w:numId="14">
    <w:abstractNumId w:val="32"/>
  </w:num>
  <w:num w:numId="15">
    <w:abstractNumId w:val="8"/>
  </w:num>
  <w:num w:numId="16">
    <w:abstractNumId w:val="31"/>
  </w:num>
  <w:num w:numId="17">
    <w:abstractNumId w:val="30"/>
  </w:num>
  <w:num w:numId="18">
    <w:abstractNumId w:val="11"/>
  </w:num>
  <w:num w:numId="19">
    <w:abstractNumId w:val="25"/>
  </w:num>
  <w:num w:numId="20">
    <w:abstractNumId w:val="14"/>
  </w:num>
  <w:num w:numId="21">
    <w:abstractNumId w:val="15"/>
  </w:num>
  <w:num w:numId="22">
    <w:abstractNumId w:val="0"/>
  </w:num>
  <w:num w:numId="23">
    <w:abstractNumId w:val="12"/>
  </w:num>
  <w:num w:numId="24">
    <w:abstractNumId w:val="5"/>
  </w:num>
  <w:num w:numId="25">
    <w:abstractNumId w:val="13"/>
  </w:num>
  <w:num w:numId="26">
    <w:abstractNumId w:val="3"/>
  </w:num>
  <w:num w:numId="27">
    <w:abstractNumId w:val="19"/>
  </w:num>
  <w:num w:numId="28">
    <w:abstractNumId w:val="28"/>
  </w:num>
  <w:num w:numId="29">
    <w:abstractNumId w:val="24"/>
  </w:num>
  <w:num w:numId="30">
    <w:abstractNumId w:val="2"/>
  </w:num>
  <w:num w:numId="31">
    <w:abstractNumId w:val="20"/>
  </w:num>
  <w:num w:numId="32">
    <w:abstractNumId w:val="26"/>
  </w:num>
  <w:num w:numId="33">
    <w:abstractNumId w:val="29"/>
  </w:num>
  <w:num w:numId="34">
    <w:abstractNumId w:val="18"/>
  </w:num>
  <w:num w:numId="35">
    <w:abstractNumId w:val="2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9A58B-3F9B-47EE-A4AE-6E013ED0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Pr>
      <w:color w:val="0000FF"/>
      <w:u w:val="singl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paragraph" w:customStyle="1" w:styleId="navtotop">
    <w:name w:val="navtotop"/>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mpty">
    <w:name w:val="empt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owall">
    <w:name w:val="showall"/>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age">
    <w:name w:val="imag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660682">
      <w:bodyDiv w:val="1"/>
      <w:marLeft w:val="0"/>
      <w:marRight w:val="0"/>
      <w:marTop w:val="0"/>
      <w:marBottom w:val="0"/>
      <w:divBdr>
        <w:top w:val="none" w:sz="0" w:space="0" w:color="auto"/>
        <w:left w:val="none" w:sz="0" w:space="0" w:color="auto"/>
        <w:bottom w:val="none" w:sz="0" w:space="0" w:color="auto"/>
        <w:right w:val="none" w:sz="0" w:space="0" w:color="auto"/>
      </w:divBdr>
      <w:divsChild>
        <w:div w:id="1713380083">
          <w:marLeft w:val="0"/>
          <w:marRight w:val="0"/>
          <w:marTop w:val="0"/>
          <w:marBottom w:val="0"/>
          <w:divBdr>
            <w:top w:val="none" w:sz="0" w:space="0" w:color="auto"/>
            <w:left w:val="none" w:sz="0" w:space="0" w:color="auto"/>
            <w:bottom w:val="none" w:sz="0" w:space="0" w:color="auto"/>
            <w:right w:val="none" w:sz="0" w:space="0" w:color="auto"/>
          </w:divBdr>
          <w:divsChild>
            <w:div w:id="1612201340">
              <w:marLeft w:val="0"/>
              <w:marRight w:val="0"/>
              <w:marTop w:val="0"/>
              <w:marBottom w:val="0"/>
              <w:divBdr>
                <w:top w:val="none" w:sz="0" w:space="0" w:color="auto"/>
                <w:left w:val="none" w:sz="0" w:space="0" w:color="auto"/>
                <w:bottom w:val="none" w:sz="0" w:space="0" w:color="auto"/>
                <w:right w:val="none" w:sz="0" w:space="0" w:color="auto"/>
              </w:divBdr>
              <w:divsChild>
                <w:div w:id="789054977">
                  <w:marLeft w:val="0"/>
                  <w:marRight w:val="0"/>
                  <w:marTop w:val="0"/>
                  <w:marBottom w:val="0"/>
                  <w:divBdr>
                    <w:top w:val="none" w:sz="0" w:space="0" w:color="auto"/>
                    <w:left w:val="none" w:sz="0" w:space="0" w:color="auto"/>
                    <w:bottom w:val="none" w:sz="0" w:space="0" w:color="auto"/>
                    <w:right w:val="none" w:sz="0" w:space="0" w:color="auto"/>
                  </w:divBdr>
                  <w:divsChild>
                    <w:div w:id="712507925">
                      <w:marLeft w:val="0"/>
                      <w:marRight w:val="0"/>
                      <w:marTop w:val="0"/>
                      <w:marBottom w:val="0"/>
                      <w:divBdr>
                        <w:top w:val="none" w:sz="0" w:space="0" w:color="auto"/>
                        <w:left w:val="none" w:sz="0" w:space="0" w:color="auto"/>
                        <w:bottom w:val="none" w:sz="0" w:space="0" w:color="auto"/>
                        <w:right w:val="none" w:sz="0" w:space="0" w:color="auto"/>
                      </w:divBdr>
                      <w:divsChild>
                        <w:div w:id="1743022672">
                          <w:marLeft w:val="0"/>
                          <w:marRight w:val="0"/>
                          <w:marTop w:val="0"/>
                          <w:marBottom w:val="0"/>
                          <w:divBdr>
                            <w:top w:val="none" w:sz="0" w:space="0" w:color="auto"/>
                            <w:left w:val="none" w:sz="0" w:space="0" w:color="auto"/>
                            <w:bottom w:val="none" w:sz="0" w:space="0" w:color="auto"/>
                            <w:right w:val="none" w:sz="0" w:space="0" w:color="auto"/>
                          </w:divBdr>
                        </w:div>
                        <w:div w:id="1935673551">
                          <w:marLeft w:val="0"/>
                          <w:marRight w:val="0"/>
                          <w:marTop w:val="0"/>
                          <w:marBottom w:val="0"/>
                          <w:divBdr>
                            <w:top w:val="none" w:sz="0" w:space="0" w:color="auto"/>
                            <w:left w:val="none" w:sz="0" w:space="0" w:color="auto"/>
                            <w:bottom w:val="none" w:sz="0" w:space="0" w:color="auto"/>
                            <w:right w:val="none" w:sz="0" w:space="0" w:color="auto"/>
                          </w:divBdr>
                        </w:div>
                        <w:div w:id="2109110722">
                          <w:marLeft w:val="0"/>
                          <w:marRight w:val="0"/>
                          <w:marTop w:val="0"/>
                          <w:marBottom w:val="0"/>
                          <w:divBdr>
                            <w:top w:val="none" w:sz="0" w:space="0" w:color="auto"/>
                            <w:left w:val="none" w:sz="0" w:space="0" w:color="auto"/>
                            <w:bottom w:val="none" w:sz="0" w:space="0" w:color="auto"/>
                            <w:right w:val="none" w:sz="0" w:space="0" w:color="auto"/>
                          </w:divBdr>
                        </w:div>
                      </w:divsChild>
                    </w:div>
                    <w:div w:id="7714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667232">
          <w:marLeft w:val="0"/>
          <w:marRight w:val="0"/>
          <w:marTop w:val="0"/>
          <w:marBottom w:val="0"/>
          <w:divBdr>
            <w:top w:val="none" w:sz="0" w:space="0" w:color="auto"/>
            <w:left w:val="none" w:sz="0" w:space="0" w:color="auto"/>
            <w:bottom w:val="none" w:sz="0" w:space="0" w:color="auto"/>
            <w:right w:val="none" w:sz="0" w:space="0" w:color="auto"/>
          </w:divBdr>
          <w:divsChild>
            <w:div w:id="65617392">
              <w:marLeft w:val="0"/>
              <w:marRight w:val="0"/>
              <w:marTop w:val="0"/>
              <w:marBottom w:val="0"/>
              <w:divBdr>
                <w:top w:val="none" w:sz="0" w:space="0" w:color="auto"/>
                <w:left w:val="none" w:sz="0" w:space="0" w:color="auto"/>
                <w:bottom w:val="none" w:sz="0" w:space="0" w:color="auto"/>
                <w:right w:val="none" w:sz="0" w:space="0" w:color="auto"/>
              </w:divBdr>
              <w:divsChild>
                <w:div w:id="328336805">
                  <w:marLeft w:val="0"/>
                  <w:marRight w:val="0"/>
                  <w:marTop w:val="0"/>
                  <w:marBottom w:val="0"/>
                  <w:divBdr>
                    <w:top w:val="none" w:sz="0" w:space="0" w:color="auto"/>
                    <w:left w:val="none" w:sz="0" w:space="0" w:color="auto"/>
                    <w:bottom w:val="none" w:sz="0" w:space="0" w:color="auto"/>
                    <w:right w:val="none" w:sz="0" w:space="0" w:color="auto"/>
                  </w:divBdr>
                  <w:divsChild>
                    <w:div w:id="439299499">
                      <w:marLeft w:val="0"/>
                      <w:marRight w:val="0"/>
                      <w:marTop w:val="0"/>
                      <w:marBottom w:val="0"/>
                      <w:divBdr>
                        <w:top w:val="none" w:sz="0" w:space="0" w:color="auto"/>
                        <w:left w:val="none" w:sz="0" w:space="0" w:color="auto"/>
                        <w:bottom w:val="none" w:sz="0" w:space="0" w:color="auto"/>
                        <w:right w:val="none" w:sz="0" w:space="0" w:color="auto"/>
                      </w:divBdr>
                      <w:divsChild>
                        <w:div w:id="18763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11968">
              <w:marLeft w:val="0"/>
              <w:marRight w:val="0"/>
              <w:marTop w:val="0"/>
              <w:marBottom w:val="0"/>
              <w:divBdr>
                <w:top w:val="none" w:sz="0" w:space="0" w:color="auto"/>
                <w:left w:val="none" w:sz="0" w:space="0" w:color="auto"/>
                <w:bottom w:val="none" w:sz="0" w:space="0" w:color="auto"/>
                <w:right w:val="none" w:sz="0" w:space="0" w:color="auto"/>
              </w:divBdr>
              <w:divsChild>
                <w:div w:id="738593857">
                  <w:marLeft w:val="0"/>
                  <w:marRight w:val="0"/>
                  <w:marTop w:val="0"/>
                  <w:marBottom w:val="0"/>
                  <w:divBdr>
                    <w:top w:val="none" w:sz="0" w:space="0" w:color="auto"/>
                    <w:left w:val="none" w:sz="0" w:space="0" w:color="auto"/>
                    <w:bottom w:val="none" w:sz="0" w:space="0" w:color="auto"/>
                    <w:right w:val="none" w:sz="0" w:space="0" w:color="auto"/>
                  </w:divBdr>
                  <w:divsChild>
                    <w:div w:id="362363712">
                      <w:marLeft w:val="0"/>
                      <w:marRight w:val="0"/>
                      <w:marTop w:val="0"/>
                      <w:marBottom w:val="0"/>
                      <w:divBdr>
                        <w:top w:val="none" w:sz="0" w:space="0" w:color="auto"/>
                        <w:left w:val="none" w:sz="0" w:space="0" w:color="auto"/>
                        <w:bottom w:val="none" w:sz="0" w:space="0" w:color="auto"/>
                        <w:right w:val="none" w:sz="0" w:space="0" w:color="auto"/>
                      </w:divBdr>
                      <w:divsChild>
                        <w:div w:id="8592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0596">
              <w:marLeft w:val="0"/>
              <w:marRight w:val="0"/>
              <w:marTop w:val="0"/>
              <w:marBottom w:val="0"/>
              <w:divBdr>
                <w:top w:val="none" w:sz="0" w:space="0" w:color="auto"/>
                <w:left w:val="none" w:sz="0" w:space="0" w:color="auto"/>
                <w:bottom w:val="none" w:sz="0" w:space="0" w:color="auto"/>
                <w:right w:val="none" w:sz="0" w:space="0" w:color="auto"/>
              </w:divBdr>
              <w:divsChild>
                <w:div w:id="778332852">
                  <w:marLeft w:val="0"/>
                  <w:marRight w:val="0"/>
                  <w:marTop w:val="0"/>
                  <w:marBottom w:val="0"/>
                  <w:divBdr>
                    <w:top w:val="none" w:sz="0" w:space="0" w:color="auto"/>
                    <w:left w:val="none" w:sz="0" w:space="0" w:color="auto"/>
                    <w:bottom w:val="none" w:sz="0" w:space="0" w:color="auto"/>
                    <w:right w:val="none" w:sz="0" w:space="0" w:color="auto"/>
                  </w:divBdr>
                </w:div>
              </w:divsChild>
            </w:div>
            <w:div w:id="1405031233">
              <w:marLeft w:val="0"/>
              <w:marRight w:val="0"/>
              <w:marTop w:val="0"/>
              <w:marBottom w:val="0"/>
              <w:divBdr>
                <w:top w:val="none" w:sz="0" w:space="0" w:color="auto"/>
                <w:left w:val="none" w:sz="0" w:space="0" w:color="auto"/>
                <w:bottom w:val="none" w:sz="0" w:space="0" w:color="auto"/>
                <w:right w:val="none" w:sz="0" w:space="0" w:color="auto"/>
              </w:divBdr>
              <w:divsChild>
                <w:div w:id="14372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 TargetMode="External"/><Relationship Id="rId13" Type="http://schemas.openxmlformats.org/officeDocument/2006/relationships/hyperlink" Target="https://www.rki.de/DE/Content/InfAZ/N/Neuartiges_Coronavirus/Kontaktperson/Management.html" TargetMode="External"/><Relationship Id="rId18" Type="http://schemas.openxmlformats.org/officeDocument/2006/relationships/hyperlink" Target="https://www.rki.de/DE/Content/InfAZ/N/Neuartiges_Coronavirus/Kontaktperson/Management.html" TargetMode="External"/><Relationship Id="rId26" Type="http://schemas.openxmlformats.org/officeDocument/2006/relationships/hyperlink" Target="https://www.rki.de/DE/Content/InfAZ/N/Neuartiges_Coronavirus/Kontaktperson/Dokumente_Tab.html" TargetMode="External"/><Relationship Id="rId3" Type="http://schemas.openxmlformats.org/officeDocument/2006/relationships/settings" Target="settings.xml"/><Relationship Id="rId21" Type="http://schemas.openxmlformats.org/officeDocument/2006/relationships/hyperlink" Target="https://www.rki.de/covid-19-entlassungskriterien.html" TargetMode="External"/><Relationship Id="rId7" Type="http://schemas.openxmlformats.org/officeDocument/2006/relationships/hyperlink" Target="https://www.rki.de/DE/Content/InfAZ/N/Neuartiges_Coronavirus/Kontaktperson/Management.html" TargetMode="External"/><Relationship Id="rId12" Type="http://schemas.openxmlformats.org/officeDocument/2006/relationships/hyperlink" Target="https://www.rki.de/DE/Content/InfAZ/N/Neuartiges_Coronavirus/Kontaktperson/Management.html" TargetMode="External"/><Relationship Id="rId17" Type="http://schemas.openxmlformats.org/officeDocument/2006/relationships/hyperlink" Target="https://www.rki.de/DE/Content/InfAZ/N/Neuartiges_Coronavirus/Kontaktperson/Management.html" TargetMode="External"/><Relationship Id="rId25" Type="http://schemas.openxmlformats.org/officeDocument/2006/relationships/hyperlink" Target="https://www.umweltbundesamt.de/sites/default/files/medien/2546/dokumente/irk_stellungnahme_lueften_sars-cov-2_0.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ki.de/DE/Content/InfAZ/N/Neuartiges_Coronavirus/Kontaktperson/Management.html" TargetMode="External"/><Relationship Id="rId20" Type="http://schemas.openxmlformats.org/officeDocument/2006/relationships/hyperlink" Target="https://www.rki.de/DE/Content/InfAZ/N/Neuartiges_Coronavirus/Kontaktperson/Management.html" TargetMode="External"/><Relationship Id="rId29" Type="http://schemas.openxmlformats.org/officeDocument/2006/relationships/hyperlink" Target="https://www.rki.de/DE/Content/InfAZ/N/Neuartiges_Coronavirus/Kontaktperson/Management.html" TargetMode="External"/><Relationship Id="rId1" Type="http://schemas.openxmlformats.org/officeDocument/2006/relationships/numbering" Target="numbering.xml"/><Relationship Id="rId6" Type="http://schemas.openxmlformats.org/officeDocument/2006/relationships/hyperlink" Target="https://www.rki.de/DE/Content/InfAZ/N/Neuartiges_Coronavirus/Kontaktperson/Management.html" TargetMode="External"/><Relationship Id="rId11" Type="http://schemas.openxmlformats.org/officeDocument/2006/relationships/hyperlink" Target="https://www.rki.de/DE/Content/InfAZ/N/Neuartiges_Coronavirus/Kontaktperson/Management.html" TargetMode="External"/><Relationship Id="rId24" Type="http://schemas.openxmlformats.org/officeDocument/2006/relationships/hyperlink" Target="https://www.rki.de/DE/Content/InfAZ/N/Neuartiges_Coronavirus/Steckbrief.html" TargetMode="External"/><Relationship Id="rId32" Type="http://schemas.openxmlformats.org/officeDocument/2006/relationships/fontTable" Target="fontTable.xml"/><Relationship Id="rId5" Type="http://schemas.openxmlformats.org/officeDocument/2006/relationships/hyperlink" Target="https://www.rki.de/DE/Content/InfAZ/N/Neuartiges_Coronavirus/Kontaktperson/Management.html" TargetMode="External"/><Relationship Id="rId15" Type="http://schemas.openxmlformats.org/officeDocument/2006/relationships/hyperlink" Target="https://www.rki.de/DE/Content/InfAZ/N/Neuartiges_Coronavirus/Kontaktperson/Grafik_Kontakt_allg.html" TargetMode="External"/><Relationship Id="rId23" Type="http://schemas.openxmlformats.org/officeDocument/2006/relationships/hyperlink" Target="https://www.rki.de/DE/Content/InfAZ/N/Neuartiges_Coronavirus/Kontaktperson/Management.html" TargetMode="External"/><Relationship Id="rId28" Type="http://schemas.openxmlformats.org/officeDocument/2006/relationships/hyperlink" Target="https://www.bfarm.de/schutzmasken.html" TargetMode="External"/><Relationship Id="rId10" Type="http://schemas.openxmlformats.org/officeDocument/2006/relationships/hyperlink" Target="https://www.rki.de/DE/Content/InfAZ/N/Neuartiges_Coronavirus/Kontaktperson/Management.html" TargetMode="External"/><Relationship Id="rId19" Type="http://schemas.openxmlformats.org/officeDocument/2006/relationships/hyperlink" Target="https://www.rki.de/DE/Content/InfAZ/N/Neuartiges_Coronavirus/Kontaktperson/Management.html" TargetMode="External"/><Relationship Id="rId31" Type="http://schemas.openxmlformats.org/officeDocument/2006/relationships/hyperlink" Target="https://www.rki.de/DE/Content/InfAZ/N/Neuartiges_Coronavirus/Kontaktperson/Management.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 TargetMode="External"/><Relationship Id="rId14" Type="http://schemas.openxmlformats.org/officeDocument/2006/relationships/hyperlink" Target="https://www.rki.de/DE/Content/InfAZ/N/Neuartiges_Coronavirus/Kontaktperson/Management.html" TargetMode="External"/><Relationship Id="rId22" Type="http://schemas.openxmlformats.org/officeDocument/2006/relationships/hyperlink" Target="https://www.rki.de/DE/Content/InfAZ/N/Neuartiges_Coronavirus/Kontaktperson/Management.html" TargetMode="External"/><Relationship Id="rId27" Type="http://schemas.openxmlformats.org/officeDocument/2006/relationships/hyperlink" Target="https://www.rki.de/covid-19-diagnostik.html" TargetMode="External"/><Relationship Id="rId30" Type="http://schemas.openxmlformats.org/officeDocument/2006/relationships/hyperlink" Target="https://www.bfarm.de/schutzmaske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3123</Words>
  <Characters>19678</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Stoliaroff-Pépin, Anna</dc:creator>
  <cp:keywords/>
  <dc:description/>
  <cp:lastModifiedBy>Stoliaroff-Pépin, Anna</cp:lastModifiedBy>
  <cp:revision>10</cp:revision>
  <dcterms:created xsi:type="dcterms:W3CDTF">2020-10-29T17:01:00Z</dcterms:created>
  <dcterms:modified xsi:type="dcterms:W3CDTF">2020-10-29T17:18:00Z</dcterms:modified>
</cp:coreProperties>
</file>