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Ute Rexroth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11"/>
        </w:numPr>
        <w:spacing w:after="0" w:line="233" w:lineRule="auto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0"/>
          <w:numId w:val="12"/>
        </w:numPr>
        <w:spacing w:after="0" w:line="233" w:lineRule="auto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Sarah McFarland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 xml:space="preserve">Francisco </w:t>
      </w:r>
      <w:proofErr w:type="spellStart"/>
      <w:r>
        <w:rPr>
          <w:sz w:val="22"/>
        </w:rPr>
        <w:t>Pozo</w:t>
      </w:r>
      <w:proofErr w:type="spellEnd"/>
      <w:r>
        <w:rPr>
          <w:sz w:val="22"/>
        </w:rPr>
        <w:t xml:space="preserve"> Martin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 xml:space="preserve">Franziska </w:t>
      </w:r>
      <w:proofErr w:type="spellStart"/>
      <w:r>
        <w:rPr>
          <w:sz w:val="22"/>
        </w:rPr>
        <w:t>Badenschier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ZBS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Andreas Nitsche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Thorsten Wolff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proofErr w:type="spellStart"/>
      <w:r>
        <w:rPr>
          <w:sz w:val="22"/>
        </w:rPr>
        <w:t>Djin-Ye</w:t>
      </w:r>
      <w:proofErr w:type="spellEnd"/>
      <w:r>
        <w:rPr>
          <w:sz w:val="22"/>
        </w:rPr>
        <w:t xml:space="preserve"> Oh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</w:rPr>
      </w:pPr>
      <w:r>
        <w:rPr>
          <w:sz w:val="22"/>
        </w:rPr>
        <w:t>FG24</w:t>
      </w:r>
    </w:p>
    <w:p>
      <w:pPr>
        <w:pStyle w:val="Listenabsatz"/>
        <w:numPr>
          <w:ilvl w:val="0"/>
          <w:numId w:val="19"/>
        </w:numPr>
        <w:spacing w:after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</w:rPr>
      </w:pPr>
      <w:r>
        <w:rPr>
          <w:sz w:val="22"/>
        </w:rPr>
        <w:t>FG33</w:t>
      </w:r>
    </w:p>
    <w:p>
      <w:pPr>
        <w:pStyle w:val="Listenabsatz"/>
        <w:numPr>
          <w:ilvl w:val="0"/>
          <w:numId w:val="19"/>
        </w:numPr>
        <w:spacing w:after="0"/>
        <w:rPr>
          <w:sz w:val="22"/>
        </w:rPr>
      </w:pPr>
      <w:r>
        <w:rPr>
          <w:sz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Ruth Offergeld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Matthias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Claudia Schulz-Weidhaas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lastRenderedPageBreak/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Ronja Wenchel </w:t>
      </w:r>
    </w:p>
    <w:p>
      <w:pPr>
        <w:pStyle w:val="Listenabsatz"/>
        <w:numPr>
          <w:ilvl w:val="0"/>
          <w:numId w:val="9"/>
        </w:numPr>
        <w:spacing w:after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0"/>
          <w:numId w:val="10"/>
        </w:numPr>
        <w:spacing w:after="0"/>
        <w:rPr>
          <w:sz w:val="22"/>
        </w:rPr>
      </w:pPr>
      <w:r>
        <w:rPr>
          <w:sz w:val="22"/>
        </w:rPr>
        <w:t>Mirjam Jenny</w:t>
      </w:r>
    </w:p>
    <w:p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</w:rPr>
        <w:t>Esther-Maria Antao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Protokoll</w:t>
      </w:r>
    </w:p>
    <w:p>
      <w:pPr>
        <w:pStyle w:val="Listenabsatz"/>
        <w:numPr>
          <w:ilvl w:val="0"/>
          <w:numId w:val="15"/>
        </w:numPr>
        <w:spacing w:after="0"/>
        <w:contextualSpacing w:val="0"/>
        <w:rPr>
          <w:sz w:val="22"/>
        </w:rPr>
      </w:pPr>
      <w:r>
        <w:rPr>
          <w:sz w:val="22"/>
        </w:rPr>
        <w:t>Claudia Houareau</w:t>
      </w:r>
    </w:p>
    <w:p>
      <w:pPr>
        <w:pStyle w:val="Listenabsatz"/>
        <w:spacing w:after="0"/>
        <w:ind w:left="714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Ca. 48,2 Mio. Fälle und fast 1,3 Mio. Verstorbene (2,6%)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unverändert, Reihenfolge verändert;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Top3: USA, Indien, Frankreich;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Platz 10 liegt Deutschland;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rückläufig sind nur Indien und Brasilien;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Länder auf der Liste über 50/100.000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Mi Änderungen: Jersey, Peru;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– EU/EWR/UK/CH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Finnland letzter unter 50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anderen EU/EWR/UK/CH Staaten &gt;50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 und News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 ab heute neue Einreisebestimmungen: Bei Einreise aus mehreren Ländern (u.a. Deutschland) muss negativer PCR- und Antikörper-Test vorliegen (dürfen nicht älter als 2 Tage sein);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in Europa haben die Maßnahmen in der letzten Woche verschärft;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Dänemark: Alle Nerze (15-17 M) werden wegen SARS-CoV-2 Ausbrüchen mit Mutationen im Spike Protein notgeschlachtet. Bisher wurden die Nerz-Virusvarianten in 12 Personen in Jütland nachgewiesen; vorläufige Ergebnisse zeigen, dass diese Variante sich nicht im gleichen Maße durch Antikörper hemmen lässt; Als Maßnahme: </w:t>
            </w:r>
            <w:proofErr w:type="spellStart"/>
            <w:r>
              <w:rPr>
                <w:sz w:val="22"/>
                <w:szCs w:val="22"/>
              </w:rPr>
              <w:t>lockdown</w:t>
            </w:r>
            <w:proofErr w:type="spellEnd"/>
            <w:r>
              <w:rPr>
                <w:sz w:val="22"/>
                <w:szCs w:val="22"/>
              </w:rPr>
              <w:t xml:space="preserve"> in Nordjütland;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Zwischenbericht zur Einschätzung der Virusvariante in den dänischen Nerzen: Bisher kein belastbarer Hinweis, dass ein zukünftiger Impfstoff bei dieser Variante nicht wirken könnte; Der Kontakt mit den dänischen Kollegen wird aufgenommen, um wichtige Details zu besprechen;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 Weiteren wird Walter Haas über seine Netzwerke mit China Kontakt aufnehmen, um zu erfahren welche </w:t>
            </w:r>
            <w:r>
              <w:rPr>
                <w:sz w:val="22"/>
                <w:szCs w:val="22"/>
              </w:rPr>
              <w:lastRenderedPageBreak/>
              <w:t>Erfahrungen beim Eindämmen von Ausbrüchen in Nerzfarmen besteht;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619.089 (+21.506), davon 11.096 (1,8%) Todesfälle (+166), 7-Tages-Inzidenz 128,7/100.000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4-Tage-R=x; 7-Tage-R=x (leider für heute noch nicht vorhanden)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weiter ansteigender Trend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Flacht leicht ab; nicht steiler geworden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weiterhin in Bremen, Berlin, NRW und Hessen.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Neue Kategorie mit 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 xml:space="preserve">. Über 250 Fällen/100.000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zur Serologische Untersuchung von Blutspenden auf Antikörper gegen SARS-CoV-2 (</w:t>
            </w:r>
            <w:proofErr w:type="spellStart"/>
            <w:r>
              <w:rPr>
                <w:sz w:val="22"/>
                <w:szCs w:val="22"/>
              </w:rPr>
              <w:t>SeBluCo</w:t>
            </w:r>
            <w:proofErr w:type="spellEnd"/>
            <w:r>
              <w:rPr>
                <w:sz w:val="22"/>
                <w:szCs w:val="22"/>
              </w:rPr>
              <w:t xml:space="preserve">; 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Hintergrund: Über gutes bundesweites Netzwerk des RKI mit </w:t>
            </w:r>
            <w:proofErr w:type="spellStart"/>
            <w:r>
              <w:rPr>
                <w:sz w:val="22"/>
                <w:szCs w:val="22"/>
              </w:rPr>
              <w:t>Blutspendeeinrichtungen</w:t>
            </w:r>
            <w:proofErr w:type="spellEnd"/>
            <w:r>
              <w:rPr>
                <w:sz w:val="22"/>
                <w:szCs w:val="22"/>
              </w:rPr>
              <w:t xml:space="preserve"> konnten schnell serologische Daten zur Abschätzung der Durchseuchung mit SARS-CoV-2 erfolgen;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Testung von ca. 170 anonymisierten Proben/Region alle 14 Tage ab KW 17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Testung auf Antikörper mit dem Anti-SARS-CoV2-IgG-ELISA der Firma Euroimmun (Target: S1)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Testung erfolgt im RKI (FG 22) für 13 Regionen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Testung erfolgt bei den Partnern für 15 Regionen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 Proben werden im Plaque-Reduktions-Neutralisationstest (PRNT) untersucht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PRNT wird entweder im </w:t>
            </w:r>
            <w:proofErr w:type="spellStart"/>
            <w:r>
              <w:rPr>
                <w:sz w:val="22"/>
                <w:szCs w:val="22"/>
              </w:rPr>
              <w:t>Konsiliarlabor</w:t>
            </w:r>
            <w:proofErr w:type="spellEnd"/>
            <w:r>
              <w:rPr>
                <w:sz w:val="22"/>
                <w:szCs w:val="22"/>
              </w:rPr>
              <w:t xml:space="preserve"> oder in der med. Virologe der Universität Frankfurt nach gleichem Protokoll durchgeführt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Antikörperuntersuchungen möglich (z.B. weitere EIAs, </w:t>
            </w:r>
            <w:proofErr w:type="spellStart"/>
            <w:r>
              <w:rPr>
                <w:sz w:val="22"/>
                <w:szCs w:val="22"/>
              </w:rPr>
              <w:t>Luminex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zu den Proben: Geburtsjahr, Geschlecht, 3stellige PLZ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Blutspendeeinrichtungen</w:t>
            </w:r>
            <w:proofErr w:type="spellEnd"/>
            <w:r>
              <w:rPr>
                <w:sz w:val="22"/>
                <w:szCs w:val="22"/>
              </w:rPr>
              <w:t xml:space="preserve">, in 28 Regionen in </w:t>
            </w:r>
            <w:proofErr w:type="spellStart"/>
            <w:r>
              <w:rPr>
                <w:sz w:val="22"/>
                <w:szCs w:val="22"/>
              </w:rPr>
              <w:t>Dtl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gute Abdeckung; außer Saarland alle BL vertreten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Population: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knapp 50T Proben analysiert: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Peak in jüngeren Spendern um 25-jährigen und bei 52-jährigen;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Kernergebnisse: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Ges.-</w:t>
            </w:r>
            <w:proofErr w:type="spellStart"/>
            <w:r>
              <w:rPr>
                <w:sz w:val="22"/>
                <w:szCs w:val="22"/>
              </w:rPr>
              <w:t>Präv</w:t>
            </w:r>
            <w:proofErr w:type="spellEnd"/>
            <w:r>
              <w:rPr>
                <w:sz w:val="22"/>
                <w:szCs w:val="22"/>
              </w:rPr>
              <w:t>. (adjustiert) 1,35% (95%CI: 1,22-1,49%);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ohne Adjustierung liegt </w:t>
            </w:r>
            <w:proofErr w:type="spellStart"/>
            <w:r>
              <w:rPr>
                <w:sz w:val="22"/>
                <w:szCs w:val="22"/>
              </w:rPr>
              <w:t>Präv</w:t>
            </w:r>
            <w:proofErr w:type="spellEnd"/>
            <w:r>
              <w:rPr>
                <w:sz w:val="22"/>
                <w:szCs w:val="22"/>
              </w:rPr>
              <w:t xml:space="preserve">. bei 1,8%;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der </w:t>
            </w:r>
            <w:proofErr w:type="spellStart"/>
            <w:r>
              <w:rPr>
                <w:sz w:val="22"/>
                <w:szCs w:val="22"/>
              </w:rPr>
              <w:t>neutraliserten</w:t>
            </w:r>
            <w:proofErr w:type="spellEnd"/>
            <w:r>
              <w:rPr>
                <w:sz w:val="22"/>
                <w:szCs w:val="22"/>
              </w:rPr>
              <w:t xml:space="preserve"> AK hat über die Zeit zugenommen;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 wird daran gearbeitet wie alle effektiven AK ausgewiesen werden können;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Verteilung nach Alter u Geschlecht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Männer sind sign. häufiger betroffen als Frauen (1,66% vs. 0,96%);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Verteilung nach Region: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unten rechts Spitzenreiter: Bayern; niedrigsten </w:t>
            </w:r>
            <w:proofErr w:type="spellStart"/>
            <w:r>
              <w:rPr>
                <w:sz w:val="22"/>
                <w:szCs w:val="22"/>
              </w:rPr>
              <w:t>Präv</w:t>
            </w:r>
            <w:proofErr w:type="spellEnd"/>
            <w:r>
              <w:rPr>
                <w:sz w:val="22"/>
                <w:szCs w:val="22"/>
              </w:rPr>
              <w:t>. in Görlitz Dresden (Cave: Daten nicht ganz aktuell);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 über Zeit: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AK-</w:t>
            </w:r>
            <w:proofErr w:type="spellStart"/>
            <w:r>
              <w:rPr>
                <w:sz w:val="22"/>
                <w:szCs w:val="22"/>
              </w:rPr>
              <w:t>Präv</w:t>
            </w:r>
            <w:proofErr w:type="spellEnd"/>
            <w:r>
              <w:rPr>
                <w:sz w:val="22"/>
                <w:szCs w:val="22"/>
              </w:rPr>
              <w:t xml:space="preserve"> hat abgenommen; asymptomatische Gesunde werden getestet, denn jeder Spender kann erst 4 Wo. Nach einem Infekt spenden;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Diskussionspunkte: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möglicher Bias durch Konvenienz-Sample;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Erkrankungsschwere nicht erhoben und schwer betroffene sehr wahrscheinlich nicht unter Spendern;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Unsicherheit bei der Testung, haben rechnerische dafür kontrolliert;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wenig ältere Personen;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Planung: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pos. Proben mit anderen Methoden nachtesten;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Bev.-bezug durch PLZ möglich;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Prüfen, ob Daten für Modellierungen geeignet sind;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 zur Fortsetzung der Studie bis April 2021 gestellt;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Dänemark vergleichbare Studie. Leider bisher nur auf Dänisch veröffentlicht, Kontakt zu Dänen ist hergestellt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(McFarland)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(Wolff)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FG38 (Rexroth)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FG34 (Offergeld)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Präsentation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rapid review on contact tracing policies; snapshot (</w:t>
            </w:r>
            <w:proofErr w:type="spellStart"/>
            <w:r>
              <w:rPr>
                <w:sz w:val="22"/>
                <w:szCs w:val="22"/>
                <w:lang w:val="en-US"/>
              </w:rPr>
              <w:t>Folien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fldChar w:fldCharType="begin"/>
            </w:r>
            <w:r>
              <w:rPr>
                <w:lang w:val="en-GB"/>
              </w:rPr>
              <w:instrText xml:space="preserve"> HYPERLINK "rapid%20review%20of%20contact%20tracing_final.pptx" </w:instrText>
            </w:r>
            <w:r>
              <w:fldChar w:fldCharType="separate"/>
            </w:r>
            <w:proofErr w:type="spellStart"/>
            <w:r>
              <w:rPr>
                <w:rStyle w:val="Hyperlink"/>
                <w:sz w:val="22"/>
                <w:szCs w:val="22"/>
                <w:lang w:val="en-US"/>
              </w:rPr>
              <w:t>hier</w:t>
            </w:r>
            <w:proofErr w:type="spellEnd"/>
            <w:r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How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</w:t>
            </w:r>
            <w:proofErr w:type="spellEnd"/>
            <w:r>
              <w:rPr>
                <w:sz w:val="22"/>
                <w:szCs w:val="22"/>
              </w:rPr>
              <w:t xml:space="preserve"> was </w:t>
            </w:r>
            <w:proofErr w:type="spellStart"/>
            <w:r>
              <w:rPr>
                <w:sz w:val="22"/>
                <w:szCs w:val="22"/>
              </w:rPr>
              <w:t>done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still work in progress (=snap shot)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searched databases with broad search terms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inclusion criteria:</w:t>
            </w:r>
          </w:p>
          <w:p>
            <w:pPr>
              <w:pStyle w:val="Listenabsatz"/>
              <w:ind w:left="14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  <w:lang w:val="en-GB"/>
              </w:rPr>
              <w:t xml:space="preserve">the impact/ effect of contact tracing on any epidemiological measure, </w:t>
            </w:r>
          </w:p>
          <w:p>
            <w:pPr>
              <w:pStyle w:val="Listenabsatz"/>
              <w:ind w:left="14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 xml:space="preserve">- the implementation/ process of contact tracing, or </w:t>
            </w:r>
          </w:p>
          <w:p>
            <w:pPr>
              <w:pStyle w:val="Listenabsatz"/>
              <w:ind w:left="14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- the acceptability of contact tracing.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Inclusion of 104 studies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Snapshot of the evidence – statistical studies: </w:t>
            </w:r>
          </w:p>
          <w:p>
            <w:pPr>
              <w:pStyle w:val="Listenabsatz"/>
              <w:ind w:left="14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very few studies; full lockdown: includes e.g. Spain, Italy; mobile tracing: China, Korea; best paper was Kendall et al.; Quality of these papers is very low, so careful interpretation of the evidence;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Snapshot of the evidence - simulation studies: </w:t>
            </w:r>
          </w:p>
          <w:p>
            <w:pPr>
              <w:pStyle w:val="Listenabsatz"/>
              <w:ind w:left="14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some elements of success of contact tracing interventions; Bi-directional contact tracing: in Japan and Singapore;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Hintergrund dieser Auswertung: Wieler hatte diesen Review angeregt als OECD-Daten vorgestellt wurden, um internationale Erfahrungen zu sammeln: Contact </w:t>
            </w:r>
            <w:proofErr w:type="spellStart"/>
            <w:r>
              <w:rPr>
                <w:sz w:val="22"/>
                <w:szCs w:val="22"/>
              </w:rPr>
              <w:t>tracing</w:t>
            </w:r>
            <w:proofErr w:type="spellEnd"/>
            <w:r>
              <w:rPr>
                <w:sz w:val="22"/>
                <w:szCs w:val="22"/>
              </w:rPr>
              <w:t xml:space="preserve"> ist relevant!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Definition von </w:t>
            </w:r>
            <w:proofErr w:type="spellStart"/>
            <w:r>
              <w:rPr>
                <w:sz w:val="22"/>
                <w:szCs w:val="22"/>
              </w:rPr>
              <w:t>contact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tracing</w:t>
            </w:r>
            <w:proofErr w:type="spellEnd"/>
            <w:r>
              <w:rPr>
                <w:sz w:val="22"/>
                <w:szCs w:val="22"/>
              </w:rPr>
              <w:t xml:space="preserve"> muss berücksichtigt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Herzlichen Dank für diese Auswertung;</w:t>
            </w:r>
          </w:p>
          <w:p>
            <w:pPr>
              <w:pStyle w:val="Listenabsat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ZIG2 </w:t>
            </w: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</w:rPr>
              <w:t>Pozo</w:t>
            </w:r>
            <w:proofErr w:type="spellEnd"/>
            <w:r>
              <w:rPr>
                <w:sz w:val="22"/>
              </w:rPr>
              <w:t xml:space="preserve"> Martin)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FG37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73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Themen zu besprechen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um Disclaimer für R-Werte im Lagebericht</w:t>
            </w:r>
          </w:p>
          <w:p>
            <w:pPr>
              <w:pStyle w:val="Listenabsatz"/>
              <w:ind w:left="47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39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der Website veröffentlichten neuen Testkriterien erzeugen durch eine Formulierung viele Nachfragen; </w:t>
            </w:r>
          </w:p>
          <w:p>
            <w:pPr>
              <w:pStyle w:val="Listenabsatz"/>
              <w:numPr>
                <w:ilvl w:val="0"/>
                <w:numId w:val="39"/>
              </w:num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Einigung auf eine Umformulierung, damit Aussage klarer wird;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Walter Haas macht Formulierungsvorschlag, schickt diesen herum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26"/>
              </w:numPr>
              <w:spacing w:line="276" w:lineRule="auto"/>
              <w:ind w:left="473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Freitags werden Mobilitätsdaten über P4 geliefert;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(Bremer)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Keine Folien: Viel Work in </w:t>
            </w:r>
            <w:proofErr w:type="spellStart"/>
            <w:r>
              <w:rPr>
                <w:sz w:val="22"/>
                <w:szCs w:val="22"/>
              </w:rPr>
              <w:t>progress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Impfsurveillance</w:t>
            </w:r>
            <w:proofErr w:type="spellEnd"/>
            <w:r>
              <w:rPr>
                <w:sz w:val="22"/>
                <w:szCs w:val="22"/>
              </w:rPr>
              <w:t>: Datenschutz über Bundesdruckerei überlegt, aber sehr kurzfristig alles;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der Impfsicherheit in Diskussion mit dem PEI;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Kommunikation erfolgt über eine kleine Steuerungsgruppe unter Mitarbeit BMG, BZgA, FG33 (Wichmann);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STIKO Sitzung vom 04.-05.11.20: Gemeinsame Publikation mit Leopoldina; STIKO Bereitet erste Impfempfehlung für Mitte Dez. vor. Bekommen parallel von Herstellern Daten der Studien;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Herzlichen Dank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Anmerkungen: Wenn es möglich ist, Unterstützung über externe Dienstleister einbinden (z.B. Bundesdruckerei oder Accenture);</w:t>
            </w:r>
          </w:p>
          <w:p>
            <w:pPr>
              <w:pStyle w:val="Listenabsatz"/>
              <w:ind w:left="453"/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Sensitivität des Sentinel: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Letzten 4 Wo.: 174 Einsendung: 8 </w:t>
            </w:r>
            <w:proofErr w:type="spellStart"/>
            <w:r>
              <w:rPr>
                <w:sz w:val="22"/>
                <w:szCs w:val="22"/>
              </w:rPr>
              <w:t>SARSCoV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</w:t>
            </w:r>
            <w:proofErr w:type="spellEnd"/>
            <w:r>
              <w:rPr>
                <w:sz w:val="22"/>
                <w:szCs w:val="22"/>
              </w:rPr>
              <w:t xml:space="preserve">; 2 positive pro Wo.;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83 Proben waren </w:t>
            </w:r>
            <w:proofErr w:type="spellStart"/>
            <w:r>
              <w:rPr>
                <w:sz w:val="22"/>
                <w:szCs w:val="22"/>
              </w:rPr>
              <w:t>Rhinovirus</w:t>
            </w:r>
            <w:proofErr w:type="spellEnd"/>
            <w:r>
              <w:rPr>
                <w:sz w:val="22"/>
                <w:szCs w:val="22"/>
              </w:rPr>
              <w:t xml:space="preserve"> positiv;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Sind zzt. unter der durchschnittlichen Einsendung im Vergleich zu den Vorjahren;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Motivieren Einsender Proben ans RKI zu geben;</w:t>
            </w:r>
          </w:p>
          <w:p>
            <w:pPr>
              <w:pStyle w:val="Listenabsatz"/>
              <w:ind w:left="927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Diskussion: Alarmierend, dass durch pos. Antigen-Tests oft keine Isolation durch die GÄ und Ärzte angeordnet wird.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 xml:space="preserve">Wurde auch bei AGI und EpiLag angesprochen. Hier war Konsens, dass Antigen-Tests Handlungen auslösen sollten;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 xml:space="preserve">Fazit: Wieler schreibt </w:t>
            </w:r>
            <w:proofErr w:type="spellStart"/>
            <w:r>
              <w:rPr>
                <w:sz w:val="22"/>
              </w:rPr>
              <w:t>Holtherm</w:t>
            </w:r>
            <w:proofErr w:type="spellEnd"/>
            <w:r>
              <w:rPr>
                <w:sz w:val="22"/>
              </w:rPr>
              <w:t xml:space="preserve"> dazu an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23% der Einsendung pos.; KOMO- Briefeinsendung 650 Proben; 2% pos.; insgesamt 20 positive; Antigen-Tests: PEI schickt BMG heute Validierungsstudie mit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Weltweite Produktion der Point-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>-Care-Tests, inkl. Antigen-Tests, werden sehr wahrscheinlich Produktionsengpässe haben</w:t>
            </w:r>
          </w:p>
          <w:p>
            <w:pPr>
              <w:rPr>
                <w:sz w:val="22"/>
              </w:rPr>
            </w:pP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FG17</w:t>
            </w: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(Oh)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FG37 (Eckmanns)</w:t>
            </w: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FG38</w:t>
            </w: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(Rexroth)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(Nitsche)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Verlegung von 4 Pat. aus Frankreich nach NRW erfolgt </w:t>
            </w:r>
            <w:proofErr w:type="spellStart"/>
            <w:r>
              <w:rPr>
                <w:sz w:val="22"/>
                <w:szCs w:val="22"/>
              </w:rPr>
              <w:t>nä</w:t>
            </w:r>
            <w:proofErr w:type="spellEnd"/>
            <w:r>
              <w:rPr>
                <w:sz w:val="22"/>
                <w:szCs w:val="22"/>
              </w:rPr>
              <w:t>. Wo; Anfrage für 30 weitere Pat. danach aufzunehmen schon eingegangen;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</w:rPr>
              <w:t>viele</w:t>
            </w:r>
            <w:r>
              <w:rPr>
                <w:sz w:val="22"/>
                <w:szCs w:val="22"/>
              </w:rPr>
              <w:t xml:space="preserve"> Angebote von Krankenhäusern diese aufzunehmen;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Anfragen aus Polen, Tschechien, Griechenland;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Anfragen laufen über verschiedene Kanäle;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Bisher am effektivsten ist die </w:t>
            </w:r>
            <w:proofErr w:type="spellStart"/>
            <w:r>
              <w:rPr>
                <w:sz w:val="22"/>
                <w:szCs w:val="22"/>
              </w:rPr>
              <w:t>TelKo</w:t>
            </w:r>
            <w:proofErr w:type="spellEnd"/>
            <w:r>
              <w:rPr>
                <w:sz w:val="22"/>
                <w:szCs w:val="22"/>
              </w:rPr>
              <w:t xml:space="preserve"> mit allen zur Absprache;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Bedarf zur Klärung der Kostenübernahme;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Zustand der 4 Pat. ist stabil trotz der ITS-pflicht;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 (Herzog)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BMG </w:t>
            </w:r>
            <w:r>
              <w:rPr>
                <w:sz w:val="22"/>
                <w:szCs w:val="22"/>
              </w:rPr>
              <w:t>stimmt</w:t>
            </w:r>
            <w:r>
              <w:rPr>
                <w:sz w:val="22"/>
              </w:rPr>
              <w:t xml:space="preserve"> weiteren Containment-Scouts Einstellung zu;</w:t>
            </w:r>
          </w:p>
          <w:p>
            <w:pPr>
              <w:pStyle w:val="Listenabsatz"/>
              <w:ind w:left="83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 (Eckmanns)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 xml:space="preserve">Digitale Einreisemeldung startet offiziell am 08.11.;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 xml:space="preserve">L1 FF mit den Verträgen;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Clearing Stelle FG31 Hr. Claus;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Es sind noch nicht alle GÄ angebunden;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Software über Dienstleistern ausführen lassen (z.B. Bundesdruckerei oder Accenture);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Versucht über Amtshilfe durch Bundesdruckerei Unterstützung zu finden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ICC </w:t>
            </w:r>
            <w:proofErr w:type="spellStart"/>
            <w:r>
              <w:rPr>
                <w:rFonts w:cstheme="majorHAnsi"/>
                <w:sz w:val="22"/>
                <w:szCs w:val="22"/>
              </w:rPr>
              <w:t>AOKpass</w:t>
            </w:r>
            <w:proofErr w:type="spellEnd"/>
            <w:r>
              <w:rPr>
                <w:rFonts w:cstheme="majorHAnsi"/>
                <w:sz w:val="22"/>
                <w:szCs w:val="22"/>
              </w:rPr>
              <w:t>;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Diese Kollaboration stellt in einer App einen QR-Code-Pass aus, wenn man vor dem Flug von einem akkreditierten </w:t>
            </w:r>
            <w:r>
              <w:rPr>
                <w:rFonts w:cstheme="majorHAnsi"/>
                <w:sz w:val="22"/>
                <w:szCs w:val="22"/>
              </w:rPr>
              <w:lastRenderedPageBreak/>
              <w:t>Labor/Klinik einen negativen Test innerhalb von wenigen Tagen fliegen will.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Teilnehmende Fluggesellschaften aktivieren das Flug-Ticket nur, wenn man den QR-Code /pass hat.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Zur Information: https://www.aokpass.com/en/media/ 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Aber auch allg. Website: https://www.aokpass.com/ </w:t>
            </w:r>
          </w:p>
          <w:p>
            <w:pPr>
              <w:pStyle w:val="Listenabsatz"/>
              <w:ind w:left="927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(Rexroth)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Int. Komm. ist weniger Belastet, mehr Personal entlastet;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ÖGD-Digitalisierung Tag: Von ÖGD, für ÖGD: RKI dabei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Mo. Treffen u.a. mit Prof. Gottschalk auch zur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Montag, 09.11.2020, 13:00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                                                                                                                             </w:t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6D"/>
    <w:multiLevelType w:val="hybridMultilevel"/>
    <w:tmpl w:val="E822DEFE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AC85E28"/>
    <w:multiLevelType w:val="hybridMultilevel"/>
    <w:tmpl w:val="F050E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0BC"/>
    <w:multiLevelType w:val="hybridMultilevel"/>
    <w:tmpl w:val="715A1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53"/>
    <w:multiLevelType w:val="hybridMultilevel"/>
    <w:tmpl w:val="B0D42EF6"/>
    <w:lvl w:ilvl="0" w:tplc="0407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C7A"/>
    <w:multiLevelType w:val="hybridMultilevel"/>
    <w:tmpl w:val="6B3A23E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70B64"/>
    <w:multiLevelType w:val="hybridMultilevel"/>
    <w:tmpl w:val="428455A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F4BD2"/>
    <w:multiLevelType w:val="hybridMultilevel"/>
    <w:tmpl w:val="E0FEF4B2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08708AB"/>
    <w:multiLevelType w:val="hybridMultilevel"/>
    <w:tmpl w:val="A35ED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03E"/>
    <w:multiLevelType w:val="hybridMultilevel"/>
    <w:tmpl w:val="0E5C3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3550"/>
    <w:multiLevelType w:val="hybridMultilevel"/>
    <w:tmpl w:val="E7449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C426A"/>
    <w:multiLevelType w:val="hybridMultilevel"/>
    <w:tmpl w:val="32566E2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97807"/>
    <w:multiLevelType w:val="hybridMultilevel"/>
    <w:tmpl w:val="8A38F1E6"/>
    <w:lvl w:ilvl="0" w:tplc="B970B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8206C"/>
    <w:multiLevelType w:val="hybridMultilevel"/>
    <w:tmpl w:val="08C6D2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E01"/>
    <w:multiLevelType w:val="hybridMultilevel"/>
    <w:tmpl w:val="99A6DB46"/>
    <w:lvl w:ilvl="0" w:tplc="0407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367D0936"/>
    <w:multiLevelType w:val="hybridMultilevel"/>
    <w:tmpl w:val="1F96004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AE80B90"/>
    <w:multiLevelType w:val="hybridMultilevel"/>
    <w:tmpl w:val="9A483F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75E78"/>
    <w:multiLevelType w:val="hybridMultilevel"/>
    <w:tmpl w:val="CEF64358"/>
    <w:lvl w:ilvl="0" w:tplc="0407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81309C"/>
    <w:multiLevelType w:val="hybridMultilevel"/>
    <w:tmpl w:val="F4CE3A90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BC499C"/>
    <w:multiLevelType w:val="hybridMultilevel"/>
    <w:tmpl w:val="6F745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F109E"/>
    <w:multiLevelType w:val="hybridMultilevel"/>
    <w:tmpl w:val="6AE8BD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4733A"/>
    <w:multiLevelType w:val="hybridMultilevel"/>
    <w:tmpl w:val="412E03FA"/>
    <w:lvl w:ilvl="0" w:tplc="0407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6" w15:restartNumberingAfterBreak="0">
    <w:nsid w:val="44FA7CE3"/>
    <w:multiLevelType w:val="hybridMultilevel"/>
    <w:tmpl w:val="F3521064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A38EE"/>
    <w:multiLevelType w:val="hybridMultilevel"/>
    <w:tmpl w:val="96109080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0180D"/>
    <w:multiLevelType w:val="hybridMultilevel"/>
    <w:tmpl w:val="EFD8DD6C"/>
    <w:lvl w:ilvl="0" w:tplc="188A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34E"/>
    <w:multiLevelType w:val="hybridMultilevel"/>
    <w:tmpl w:val="F7DA0E3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73189B"/>
    <w:multiLevelType w:val="hybridMultilevel"/>
    <w:tmpl w:val="41EA01A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B865CB"/>
    <w:multiLevelType w:val="hybridMultilevel"/>
    <w:tmpl w:val="E1786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F7BE9"/>
    <w:multiLevelType w:val="hybridMultilevel"/>
    <w:tmpl w:val="F0429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E1C98"/>
    <w:multiLevelType w:val="hybridMultilevel"/>
    <w:tmpl w:val="4FF4B84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627DD"/>
    <w:multiLevelType w:val="hybridMultilevel"/>
    <w:tmpl w:val="2A3ED2B6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74E4119D"/>
    <w:multiLevelType w:val="hybridMultilevel"/>
    <w:tmpl w:val="B630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82E10"/>
    <w:multiLevelType w:val="hybridMultilevel"/>
    <w:tmpl w:val="B9521A56"/>
    <w:lvl w:ilvl="0" w:tplc="0407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DFC76D8"/>
    <w:multiLevelType w:val="hybridMultilevel"/>
    <w:tmpl w:val="55D8A42A"/>
    <w:lvl w:ilvl="0" w:tplc="6570F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4B3A"/>
    <w:multiLevelType w:val="hybridMultilevel"/>
    <w:tmpl w:val="511E4F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7"/>
  </w:num>
  <w:num w:numId="5">
    <w:abstractNumId w:val="13"/>
  </w:num>
  <w:num w:numId="6">
    <w:abstractNumId w:val="29"/>
  </w:num>
  <w:num w:numId="7">
    <w:abstractNumId w:val="21"/>
  </w:num>
  <w:num w:numId="8">
    <w:abstractNumId w:val="23"/>
  </w:num>
  <w:num w:numId="9">
    <w:abstractNumId w:val="34"/>
  </w:num>
  <w:num w:numId="10">
    <w:abstractNumId w:val="32"/>
  </w:num>
  <w:num w:numId="11">
    <w:abstractNumId w:val="33"/>
  </w:num>
  <w:num w:numId="12">
    <w:abstractNumId w:val="7"/>
  </w:num>
  <w:num w:numId="13">
    <w:abstractNumId w:val="37"/>
  </w:num>
  <w:num w:numId="14">
    <w:abstractNumId w:val="31"/>
  </w:num>
  <w:num w:numId="15">
    <w:abstractNumId w:val="6"/>
  </w:num>
  <w:num w:numId="16">
    <w:abstractNumId w:val="15"/>
  </w:num>
  <w:num w:numId="17">
    <w:abstractNumId w:val="26"/>
  </w:num>
  <w:num w:numId="18">
    <w:abstractNumId w:val="10"/>
  </w:num>
  <w:num w:numId="19">
    <w:abstractNumId w:val="12"/>
  </w:num>
  <w:num w:numId="20">
    <w:abstractNumId w:val="3"/>
  </w:num>
  <w:num w:numId="21">
    <w:abstractNumId w:val="14"/>
  </w:num>
  <w:num w:numId="22">
    <w:abstractNumId w:val="24"/>
  </w:num>
  <w:num w:numId="23">
    <w:abstractNumId w:val="38"/>
  </w:num>
  <w:num w:numId="24">
    <w:abstractNumId w:val="0"/>
  </w:num>
  <w:num w:numId="25">
    <w:abstractNumId w:val="2"/>
  </w:num>
  <w:num w:numId="26">
    <w:abstractNumId w:val="30"/>
  </w:num>
  <w:num w:numId="27">
    <w:abstractNumId w:val="25"/>
  </w:num>
  <w:num w:numId="28">
    <w:abstractNumId w:val="17"/>
  </w:num>
  <w:num w:numId="29">
    <w:abstractNumId w:val="40"/>
  </w:num>
  <w:num w:numId="30">
    <w:abstractNumId w:val="11"/>
  </w:num>
  <w:num w:numId="31">
    <w:abstractNumId w:val="39"/>
  </w:num>
  <w:num w:numId="32">
    <w:abstractNumId w:val="35"/>
  </w:num>
  <w:num w:numId="33">
    <w:abstractNumId w:val="22"/>
  </w:num>
  <w:num w:numId="34">
    <w:abstractNumId w:val="20"/>
  </w:num>
  <w:num w:numId="35">
    <w:abstractNumId w:val="8"/>
  </w:num>
  <w:num w:numId="36">
    <w:abstractNumId w:val="36"/>
  </w:num>
  <w:num w:numId="37">
    <w:abstractNumId w:val="28"/>
  </w:num>
  <w:num w:numId="38">
    <w:abstractNumId w:val="18"/>
  </w:num>
  <w:num w:numId="39">
    <w:abstractNumId w:val="16"/>
  </w:num>
  <w:num w:numId="40">
    <w:abstractNumId w:val="9"/>
  </w:num>
  <w:num w:numId="41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e_Lage_2020-11-06.ppt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SeBluCo_Krisenstab_201106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Lage-National_2020_11_06_neu.ppt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6F8C-7A87-4E1B-A3D7-703BE88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1497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181</cp:revision>
  <cp:lastPrinted>2020-05-06T16:43:00Z</cp:lastPrinted>
  <dcterms:created xsi:type="dcterms:W3CDTF">2020-11-06T12:11:00Z</dcterms:created>
  <dcterms:modified xsi:type="dcterms:W3CDTF">2021-05-06T13:32:00Z</dcterms:modified>
</cp:coreProperties>
</file>