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Optionen zum Management von Kontaktpersonen unter medizinischem und nicht medizinischem Personal in Alten- und Pflegeeinrichtungen bei Personalmangel</w:t>
      </w:r>
    </w:p>
    <w:p>
      <w:pPr>
        <w:numPr>
          <w:ilvl w:val="0"/>
          <w:numId w:val="22"/>
        </w:numPr>
        <w:spacing w:before="100" w:beforeAutospacing="1" w:after="100" w:afterAutospacing="1" w:line="240" w:lineRule="auto"/>
        <w:rPr>
          <w:rFonts w:ascii="Times New Roman" w:eastAsia="Times New Roman" w:hAnsi="Times New Roman" w:cs="Times New Roman"/>
          <w:sz w:val="24"/>
          <w:szCs w:val="24"/>
        </w:rPr>
      </w:pPr>
      <w:hyperlink r:id="rId6" w:anchor="doc13848752bodyText1" w:history="1">
        <w:r>
          <w:rPr>
            <w:rFonts w:ascii="Times New Roman" w:eastAsia="Times New Roman" w:hAnsi="Times New Roman" w:cs="Times New Roman"/>
            <w:color w:val="0000FF"/>
            <w:sz w:val="24"/>
            <w:szCs w:val="24"/>
            <w:u w:val="single"/>
          </w:rPr>
          <w:t>I. Hintergrund</w:t>
        </w:r>
      </w:hyperlink>
      <w:r>
        <w:rPr>
          <w:rFonts w:ascii="Times New Roman" w:eastAsia="Times New Roman" w:hAnsi="Times New Roman" w:cs="Times New Roman"/>
          <w:sz w:val="24"/>
          <w:szCs w:val="24"/>
        </w:rPr>
        <w:t xml:space="preserve"> </w:t>
      </w:r>
    </w:p>
    <w:p>
      <w:pPr>
        <w:numPr>
          <w:ilvl w:val="0"/>
          <w:numId w:val="22"/>
        </w:numPr>
        <w:spacing w:before="100" w:beforeAutospacing="1" w:after="100" w:afterAutospacing="1" w:line="240" w:lineRule="auto"/>
        <w:rPr>
          <w:rFonts w:ascii="Times New Roman" w:eastAsia="Times New Roman" w:hAnsi="Times New Roman" w:cs="Times New Roman"/>
          <w:sz w:val="24"/>
          <w:szCs w:val="24"/>
        </w:rPr>
      </w:pPr>
      <w:hyperlink r:id="rId7" w:anchor="doc13848752bodyText2" w:history="1">
        <w:r>
          <w:rPr>
            <w:rFonts w:ascii="Times New Roman" w:eastAsia="Times New Roman" w:hAnsi="Times New Roman" w:cs="Times New Roman"/>
            <w:color w:val="0000FF"/>
            <w:sz w:val="24"/>
            <w:szCs w:val="24"/>
            <w:u w:val="single"/>
          </w:rPr>
          <w:t xml:space="preserve">II. Mögliche Anpassung der Empfehlungen für Kontaktpersonen unter Personal von Alten- und Pflegeeinrichtungen an Situationen mit akutem Personalmangel </w:t>
        </w:r>
      </w:hyperlink>
      <w:r>
        <w:rPr>
          <w:rFonts w:ascii="Times New Roman" w:eastAsia="Times New Roman" w:hAnsi="Times New Roman" w:cs="Times New Roman"/>
          <w:sz w:val="24"/>
          <w:szCs w:val="24"/>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Durch Klicken auf das Lupen-Symbol unter dem Vorschaubild kann die Infografik geöffnet werden. Die Infografik ist als PDF-Datei zum Selbstausdrucken verfügbar: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Infografik in Überarbeitung: folgt</w:t>
      </w:r>
    </w:p>
    <w:p>
      <w:pPr>
        <w:spacing w:before="100" w:beforeAutospacing="1" w:after="100" w:afterAutospacing="1" w:line="240" w:lineRule="auto"/>
        <w:rPr>
          <w:rFonts w:ascii="Times New Roman" w:eastAsia="Times New Roman" w:hAnsi="Times New Roman" w:cs="Times New Roman"/>
          <w:i/>
          <w:sz w:val="24"/>
          <w:szCs w:val="24"/>
          <w:lang w:eastAsia="de-DE"/>
        </w:rPr>
      </w:pPr>
      <w:r>
        <w:rPr>
          <w:rFonts w:ascii="Times New Roman" w:eastAsia="Times New Roman" w:hAnsi="Times New Roman" w:cs="Times New Roman"/>
          <w:i/>
          <w:sz w:val="24"/>
          <w:szCs w:val="24"/>
          <w:lang w:eastAsia="de-DE"/>
        </w:rPr>
        <w:t>Änderung: ersetzt</w:t>
      </w:r>
    </w:p>
    <w:p>
      <w:pPr>
        <w:spacing w:before="100" w:beforeAutospacing="1" w:after="100" w:afterAutospacing="1" w:line="240" w:lineRule="auto"/>
        <w:rPr>
          <w:rFonts w:ascii="Times New Roman" w:eastAsia="Times New Roman" w:hAnsi="Times New Roman" w:cs="Times New Roman"/>
          <w:i/>
          <w:sz w:val="24"/>
          <w:szCs w:val="24"/>
          <w:lang w:eastAsia="de-DE"/>
        </w:rPr>
      </w:pPr>
      <w:r>
        <w:rPr>
          <w:rFonts w:ascii="Times New Roman" w:eastAsia="Times New Roman" w:hAnsi="Times New Roman" w:cs="Times New Roman"/>
          <w:i/>
          <w:sz w:val="24"/>
          <w:szCs w:val="24"/>
          <w:lang w:eastAsia="de-DE"/>
        </w:rPr>
        <w:t>„Optionen zum Management von Kontaktpersonen unter medizinischem und nicht medizinischem Personal in Alten- und Pflegeeinrichtungen bei Personalmangel.“ Version vom 12.10.2020</w:t>
      </w:r>
    </w:p>
    <w:p>
      <w:pPr>
        <w:spacing w:before="100" w:beforeAutospacing="1" w:after="100" w:afterAutospacing="1" w:line="240" w:lineRule="auto"/>
        <w:rPr>
          <w:rFonts w:ascii="Times New Roman" w:eastAsia="Times New Roman" w:hAnsi="Times New Roman" w:cs="Times New Roman"/>
          <w:i/>
          <w:sz w:val="24"/>
          <w:szCs w:val="24"/>
          <w:lang w:eastAsia="de-DE"/>
        </w:rPr>
      </w:pPr>
      <w:r>
        <w:rPr>
          <w:rFonts w:ascii="Times New Roman" w:eastAsia="Times New Roman" w:hAnsi="Times New Roman" w:cs="Times New Roman"/>
          <w:i/>
          <w:sz w:val="24"/>
          <w:szCs w:val="24"/>
          <w:lang w:eastAsia="de-DE"/>
        </w:rPr>
        <w:t xml:space="preserve">Fokussierung nun auf die Situation mit relevantem Personalmangel. Für alle anderen Situationen gilt Kontaktpersonenmanagement: hier –Link zu </w:t>
      </w:r>
      <w:proofErr w:type="spellStart"/>
      <w:r>
        <w:rPr>
          <w:rFonts w:ascii="Times New Roman" w:eastAsia="Times New Roman" w:hAnsi="Times New Roman" w:cs="Times New Roman"/>
          <w:i/>
          <w:sz w:val="24"/>
          <w:szCs w:val="24"/>
          <w:lang w:eastAsia="de-DE"/>
        </w:rPr>
        <w:t>KoNa</w:t>
      </w:r>
      <w:proofErr w:type="spellEnd"/>
      <w:r>
        <w:rPr>
          <w:rFonts w:ascii="Times New Roman" w:eastAsia="Times New Roman" w:hAnsi="Times New Roman" w:cs="Times New Roman"/>
          <w:i/>
          <w:sz w:val="24"/>
          <w:szCs w:val="24"/>
          <w:lang w:eastAsia="de-DE"/>
        </w:rPr>
        <w:t xml:space="preserve"> Allgemein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 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allgemein empfohlene „Management von Kontaktpersonen“ ist beschrieben unter </w:t>
      </w:r>
      <w:hyperlink r:id="rId8" w:tooltip="Kontaktpersonen-Nachverfolgung bei respiratorischen Erkrankungen durch das Coronavirus SARS-CoV-2" w:history="1">
        <w:r>
          <w:rPr>
            <w:rFonts w:ascii="Times New Roman" w:eastAsia="Times New Roman" w:hAnsi="Times New Roman" w:cs="Times New Roman"/>
            <w:color w:val="0000FF"/>
            <w:sz w:val="24"/>
            <w:szCs w:val="24"/>
            <w:u w:val="single"/>
            <w:lang w:eastAsia="de-DE"/>
          </w:rPr>
          <w:t>www.rki.de/covid-19-kontaktpersonen</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Während der gegenwärtigen COVID-19-Pandemie konkurrieren beim Umgang mit Kontaktpersonen unter Personal von Alten- und Pflegeeinrichtungen folgende Ziele miteinander: </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Absonderung/Quarantäne von Personal nach Kontakt</w:t>
      </w:r>
      <w:r>
        <w:t xml:space="preserve"> </w:t>
      </w:r>
      <w:r>
        <w:rPr>
          <w:rFonts w:ascii="Times New Roman" w:eastAsia="Times New Roman" w:hAnsi="Times New Roman" w:cs="Times New Roman"/>
          <w:sz w:val="24"/>
          <w:szCs w:val="24"/>
          <w:lang w:eastAsia="de-DE"/>
        </w:rPr>
        <w:t>zu einem COVID-19-Fall, um bei einer eventuellen Infektion das Risiko von Übertragungen zu minimieren (Infektionsschutz) und</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Gewährleistung der Versorgung von Risikogruppen in Alten- und Pflegeeinrichtungen.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Ist die adäquate Versorgung der Bewohnerinnen und Bewohner durch Personalengpässe nicht mehr möglich, kann es notwendig sein, die bestehenden Empfehlungen zum Umgang von Kontaktpersonen (</w:t>
      </w:r>
      <w:hyperlink r:id="rId9" w:tooltip="Kontaktpersonen-Nachverfolgung bei respiratorischen Erkrankungen durch das Coronavirus SARS-CoV-2" w:history="1">
        <w:r>
          <w:rPr>
            <w:rFonts w:ascii="Times New Roman" w:eastAsia="Times New Roman" w:hAnsi="Times New Roman" w:cs="Times New Roman"/>
            <w:color w:val="0000FF"/>
            <w:sz w:val="24"/>
            <w:szCs w:val="24"/>
            <w:u w:val="single"/>
            <w:lang w:eastAsia="de-DE"/>
          </w:rPr>
          <w:t>www.rki.de/covid-19-kontaktpersonen</w:t>
        </w:r>
      </w:hyperlink>
      <w:r>
        <w:rPr>
          <w:rFonts w:ascii="Times New Roman" w:eastAsia="Times New Roman" w:hAnsi="Times New Roman" w:cs="Times New Roman"/>
          <w:sz w:val="24"/>
          <w:szCs w:val="24"/>
          <w:lang w:eastAsia="de-DE"/>
        </w:rPr>
        <w:t>) anzupassen.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Die folgenden Handlungsoptionen sollen nur in Situationen zur Anwendung kommen, in denen ein relevanter Personalmangel (adäquate Versorgung der Bewohnerinnen und Bewohner nicht gewährleistet) vorliegt und andere Maßnahmen zur Sicherstellung einer angemessenen Personalbesetzung ausgeschöpft sind.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sz w:val="24"/>
          <w:szCs w:val="24"/>
          <w:lang w:eastAsia="de-DE"/>
        </w:rPr>
        <w:lastRenderedPageBreak/>
        <w:t>Voraussetzungen</w:t>
      </w:r>
      <w:r>
        <w:rPr>
          <w:rFonts w:ascii="Times New Roman" w:eastAsia="Times New Roman" w:hAnsi="Times New Roman" w:cs="Times New Roman"/>
          <w:sz w:val="24"/>
          <w:szCs w:val="24"/>
          <w:lang w:eastAsia="de-DE"/>
        </w:rPr>
        <w:t xml:space="preserve"> für die Anwendung der unten beschriebenen Anpassungen des allgemein empfohlenen "Managements von Kontaktpersonen" in Alten- und Pflegeeinrichtungen sind:</w:t>
      </w:r>
    </w:p>
    <w:p>
      <w:pPr>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eastAsia="Times New Roman" w:hAnsi="Times New Roman" w:cs="Times New Roman"/>
          <w:sz w:val="24"/>
          <w:szCs w:val="24"/>
          <w:lang w:eastAsia="de-DE"/>
        </w:rPr>
        <w:t>Einweisung in korrektes Tragen eines Mund-Nasen-Schutzes (MNS); Hygienemaßnahmen (u.a. Handhygiene) und weitere Schutzmaßnahmen (z.B. Vermeidung nicht unbedingt notwendiger Kontakte).</w:t>
      </w:r>
      <w:r>
        <w:rPr>
          <w:rFonts w:ascii="Times New Roman" w:hAnsi="Times New Roman" w:cs="Times New Roman"/>
          <w:sz w:val="24"/>
          <w:szCs w:val="24"/>
        </w:rPr>
        <w:t xml:space="preserve"> Daraus ergibt sich: </w:t>
      </w:r>
    </w:p>
    <w:p>
      <w:pPr>
        <w:numPr>
          <w:ilvl w:val="1"/>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Arbeiten NUR mit Mund-Nasen-Schutz</w:t>
      </w:r>
    </w:p>
    <w:p>
      <w:pPr>
        <w:pStyle w:val="Listenabsatz"/>
        <w:numPr>
          <w:ilvl w:val="1"/>
          <w:numId w:val="1"/>
        </w:numPr>
        <w:rPr>
          <w:rFonts w:ascii="Times New Roman" w:hAnsi="Times New Roman" w:cs="Times New Roman"/>
          <w:sz w:val="24"/>
          <w:szCs w:val="24"/>
        </w:rPr>
      </w:pPr>
      <w:r>
        <w:rPr>
          <w:rFonts w:ascii="Times New Roman" w:eastAsia="Times New Roman" w:hAnsi="Times New Roman" w:cs="Times New Roman"/>
          <w:sz w:val="24"/>
          <w:szCs w:val="24"/>
          <w:lang w:eastAsia="de-DE"/>
        </w:rPr>
        <w:t xml:space="preserve">Strikte Einhaltung aller </w:t>
      </w:r>
      <w:r>
        <w:rPr>
          <w:rFonts w:ascii="Times New Roman" w:eastAsia="Times New Roman" w:hAnsi="Times New Roman" w:cs="Times New Roman"/>
          <w:bCs/>
          <w:sz w:val="24"/>
          <w:szCs w:val="24"/>
          <w:lang w:eastAsia="de-DE"/>
        </w:rPr>
        <w:t>Hygiene</w:t>
      </w:r>
      <w:r>
        <w:rPr>
          <w:rFonts w:ascii="Times New Roman" w:eastAsia="Times New Roman" w:hAnsi="Times New Roman" w:cs="Times New Roman"/>
          <w:sz w:val="24"/>
          <w:szCs w:val="24"/>
          <w:lang w:eastAsia="de-DE"/>
        </w:rPr>
        <w:t>-E</w:t>
      </w:r>
      <w:r>
        <w:rPr>
          <w:rFonts w:ascii="Times New Roman" w:eastAsia="Times New Roman" w:hAnsi="Times New Roman" w:cs="Times New Roman"/>
          <w:bCs/>
          <w:sz w:val="24"/>
          <w:szCs w:val="24"/>
          <w:lang w:eastAsia="de-DE"/>
        </w:rPr>
        <w:t>mpfeh</w:t>
      </w:r>
      <w:r>
        <w:rPr>
          <w:rFonts w:ascii="Times New Roman" w:eastAsia="Times New Roman" w:hAnsi="Times New Roman" w:cs="Times New Roman"/>
          <w:sz w:val="24"/>
          <w:szCs w:val="24"/>
          <w:lang w:eastAsia="de-DE"/>
        </w:rPr>
        <w:softHyphen/>
      </w:r>
      <w:r>
        <w:rPr>
          <w:rFonts w:ascii="Times New Roman" w:eastAsia="Times New Roman" w:hAnsi="Times New Roman" w:cs="Times New Roman"/>
          <w:bCs/>
          <w:sz w:val="24"/>
          <w:szCs w:val="24"/>
          <w:lang w:eastAsia="de-DE"/>
        </w:rPr>
        <w:t>lungen</w:t>
      </w:r>
      <w:r>
        <w:rPr>
          <w:rFonts w:ascii="Times New Roman" w:eastAsia="Times New Roman" w:hAnsi="Times New Roman" w:cs="Times New Roman"/>
          <w:sz w:val="24"/>
          <w:szCs w:val="24"/>
          <w:lang w:eastAsia="de-DE"/>
        </w:rPr>
        <w:t xml:space="preserve"> insb. Hände-Hygiene</w:t>
      </w:r>
    </w:p>
    <w:p>
      <w:pPr>
        <w:pStyle w:val="Listenabsatz"/>
        <w:numPr>
          <w:ilvl w:val="1"/>
          <w:numId w:val="1"/>
        </w:numPr>
        <w:rPr>
          <w:rFonts w:ascii="Times New Roman" w:hAnsi="Times New Roman" w:cs="Times New Roman"/>
          <w:sz w:val="24"/>
          <w:szCs w:val="24"/>
        </w:rPr>
      </w:pPr>
      <w:r>
        <w:rPr>
          <w:rFonts w:ascii="Times New Roman" w:eastAsia="Times New Roman" w:hAnsi="Times New Roman" w:cs="Times New Roman"/>
          <w:sz w:val="24"/>
          <w:szCs w:val="24"/>
          <w:lang w:eastAsia="de-DE"/>
        </w:rPr>
        <w:t>Sofern die Tätigkeit dies nicht zwingend aus</w:t>
      </w:r>
      <w:r>
        <w:rPr>
          <w:rFonts w:ascii="Times New Roman" w:eastAsia="Times New Roman" w:hAnsi="Times New Roman" w:cs="Times New Roman"/>
          <w:sz w:val="24"/>
          <w:szCs w:val="24"/>
          <w:lang w:eastAsia="de-DE"/>
        </w:rPr>
        <w:softHyphen/>
        <w:t xml:space="preserve">schließt, unbedingt </w:t>
      </w:r>
      <w:r>
        <w:rPr>
          <w:rFonts w:ascii="Times New Roman" w:eastAsia="Times New Roman" w:hAnsi="Times New Roman" w:cs="Times New Roman"/>
          <w:bCs/>
          <w:sz w:val="24"/>
          <w:szCs w:val="24"/>
          <w:lang w:eastAsia="de-DE"/>
        </w:rPr>
        <w:t>Abstand zu anderen Personen</w:t>
      </w:r>
      <w:r>
        <w:rPr>
          <w:rFonts w:ascii="Times New Roman" w:eastAsia="Times New Roman" w:hAnsi="Times New Roman" w:cs="Times New Roman"/>
          <w:sz w:val="24"/>
          <w:szCs w:val="24"/>
          <w:lang w:eastAsia="de-DE"/>
        </w:rPr>
        <w:t xml:space="preserve"> (mind. 1,5 m) halten (auch während Pausen etc.)</w:t>
      </w:r>
    </w:p>
    <w:p>
      <w:pPr>
        <w:pStyle w:val="Listenabsatz"/>
        <w:numPr>
          <w:ilvl w:val="0"/>
          <w:numId w:val="1"/>
        </w:numPr>
        <w:spacing w:before="100" w:beforeAutospacing="1" w:after="100" w:afterAutospacing="1" w:line="240" w:lineRule="auto"/>
        <w:rPr>
          <w:rFonts w:ascii="Times New Roman" w:eastAsia="Times New Roman" w:hAnsi="Times New Roman" w:cs="Times New Roman"/>
          <w:bCs/>
          <w:sz w:val="24"/>
          <w:szCs w:val="24"/>
          <w:lang w:eastAsia="de-DE"/>
        </w:rPr>
      </w:pPr>
      <w:bookmarkStart w:id="0" w:name="_Hlk56669406"/>
      <w:bookmarkStart w:id="1" w:name="_Hlk55910819"/>
      <w:r>
        <w:rPr>
          <w:rFonts w:ascii="Times New Roman" w:eastAsia="Times New Roman" w:hAnsi="Times New Roman" w:cs="Times New Roman"/>
          <w:sz w:val="24"/>
          <w:szCs w:val="24"/>
          <w:lang w:eastAsia="de-DE"/>
        </w:rPr>
        <w:t xml:space="preserve">Tägliche Eigenbeobachtung, zusätzlich „Erkältungssymptom-Screening“ beim Personal bei Betreten der Einrichtung. </w:t>
      </w:r>
    </w:p>
    <w:p>
      <w:pPr>
        <w:pStyle w:val="Listenabsatz"/>
        <w:numPr>
          <w:ilvl w:val="0"/>
          <w:numId w:val="1"/>
        </w:numPr>
        <w:spacing w:before="100" w:beforeAutospacing="1" w:after="100" w:afterAutospacing="1" w:line="240" w:lineRule="auto"/>
        <w:rPr>
          <w:rFonts w:ascii="Times New Roman" w:eastAsia="Times New Roman" w:hAnsi="Times New Roman" w:cs="Times New Roman"/>
          <w:bCs/>
          <w:sz w:val="24"/>
          <w:szCs w:val="24"/>
          <w:lang w:eastAsia="de-DE"/>
        </w:rPr>
      </w:pPr>
      <w:bookmarkStart w:id="2" w:name="_Hlk56670275"/>
      <w:bookmarkEnd w:id="0"/>
      <w:r>
        <w:rPr>
          <w:rFonts w:ascii="Times New Roman" w:eastAsia="Times New Roman" w:hAnsi="Times New Roman" w:cs="Times New Roman"/>
          <w:sz w:val="24"/>
          <w:szCs w:val="24"/>
          <w:lang w:eastAsia="de-DE"/>
        </w:rPr>
        <w:t>Bei Auftreten von Symptomen vereinbar mit einer COVID-19- Erkrankung:</w:t>
      </w:r>
    </w:p>
    <w:p>
      <w:pPr>
        <w:pStyle w:val="Listenabsatz"/>
        <w:numPr>
          <w:ilvl w:val="1"/>
          <w:numId w:val="1"/>
        </w:numPr>
        <w:spacing w:before="100" w:beforeAutospacing="1" w:after="100" w:afterAutospacing="1" w:line="240" w:lineRule="auto"/>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Umgehende Freistellung von der beruflichen Tätigkeit</w:t>
      </w:r>
    </w:p>
    <w:p>
      <w:pPr>
        <w:pStyle w:val="Listenabsatz"/>
        <w:numPr>
          <w:ilvl w:val="1"/>
          <w:numId w:val="1"/>
        </w:numPr>
        <w:spacing w:before="100" w:beforeAutospacing="1" w:after="100" w:afterAutospacing="1" w:line="240" w:lineRule="auto"/>
        <w:rPr>
          <w:rFonts w:ascii="Times New Roman" w:hAnsi="Times New Roman" w:cs="Times New Roman"/>
          <w:sz w:val="24"/>
          <w:szCs w:val="24"/>
        </w:rPr>
      </w:pPr>
      <w:r>
        <w:rPr>
          <w:rFonts w:ascii="Times New Roman" w:eastAsia="Times New Roman" w:hAnsi="Times New Roman" w:cs="Times New Roman"/>
          <w:bCs/>
          <w:sz w:val="24"/>
          <w:szCs w:val="24"/>
          <w:lang w:eastAsia="de-DE"/>
        </w:rPr>
        <w:t>Testung auf SARS-COV-2 und Selbstisolation bis zum Ergebnis</w:t>
      </w:r>
    </w:p>
    <w:bookmarkEnd w:id="1"/>
    <w:bookmarkEnd w:id="2"/>
    <w:p>
      <w:pPr>
        <w:pStyle w:val="Listenabsatz"/>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eastAsia="Times New Roman" w:hAnsi="Times New Roman" w:cs="Times New Roman"/>
          <w:sz w:val="24"/>
          <w:szCs w:val="24"/>
          <w:lang w:eastAsia="de-DE"/>
        </w:rPr>
        <w:t>Strikte räumliche und personelle Trennung in der Versorgung bei Auftreten von Fällen unter Bewohnerinnen und Bewohnern</w:t>
      </w:r>
    </w:p>
    <w:p>
      <w:pPr>
        <w:pStyle w:val="Listenabsatz"/>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eastAsia="Times New Roman" w:hAnsi="Times New Roman" w:cs="Times New Roman"/>
          <w:sz w:val="24"/>
          <w:szCs w:val="24"/>
          <w:lang w:eastAsia="de-DE"/>
        </w:rPr>
        <w:t xml:space="preserve">Eine regelmäßige Testung auf SARS-CoV-2 unabhängig von dem Auftreten von </w:t>
      </w:r>
      <w:r>
        <w:rPr>
          <w:rFonts w:ascii="Times New Roman" w:eastAsia="Times New Roman" w:hAnsi="Times New Roman" w:cs="Times New Roman"/>
          <w:sz w:val="24"/>
          <w:szCs w:val="24"/>
          <w:lang w:eastAsia="de-DE"/>
        </w:rPr>
        <w:t>Symptomen wird empfohlen (</w:t>
      </w:r>
      <w:r>
        <w:rPr>
          <w:rFonts w:ascii="Times New Roman" w:eastAsia="Times New Roman" w:hAnsi="Times New Roman" w:cs="Times New Roman"/>
          <w:color w:val="0070C0"/>
          <w:sz w:val="24"/>
          <w:szCs w:val="24"/>
          <w:u w:val="single"/>
          <w:lang w:eastAsia="de-DE"/>
        </w:rPr>
        <w:t>siehe nationale Teststrategie</w:t>
      </w:r>
      <w:r>
        <w:rPr>
          <w:rFonts w:ascii="Times New Roman" w:eastAsia="Times New Roman" w:hAnsi="Times New Roman" w:cs="Times New Roman"/>
          <w:sz w:val="24"/>
          <w:szCs w:val="24"/>
          <w:lang w:eastAsia="de-DE"/>
        </w:rPr>
        <w:t xml:space="preserve">). </w:t>
      </w:r>
    </w:p>
    <w:p>
      <w:pPr>
        <w:pStyle w:val="Listenabsatz"/>
        <w:numPr>
          <w:ilvl w:val="0"/>
          <w:numId w:val="1"/>
        </w:numPr>
        <w:spacing w:before="100" w:beforeAutospacing="1" w:after="100" w:afterAutospacing="1" w:line="240" w:lineRule="auto"/>
        <w:rPr>
          <w:rFonts w:ascii="Times New Roman" w:eastAsia="Times New Roman" w:hAnsi="Times New Roman" w:cs="Times New Roman"/>
          <w:bCs/>
          <w:sz w:val="24"/>
          <w:szCs w:val="24"/>
          <w:lang w:eastAsia="de-DE"/>
        </w:rPr>
      </w:pPr>
      <w:r>
        <w:rPr>
          <w:rFonts w:ascii="Times New Roman" w:eastAsia="Times New Roman" w:hAnsi="Times New Roman" w:cs="Times New Roman"/>
          <w:sz w:val="24"/>
          <w:szCs w:val="24"/>
          <w:lang w:eastAsia="de-DE"/>
        </w:rPr>
        <w:t>Weitere Maß</w:t>
      </w:r>
      <w:r>
        <w:rPr>
          <w:rFonts w:ascii="Times New Roman" w:eastAsia="Times New Roman" w:hAnsi="Times New Roman" w:cs="Times New Roman"/>
          <w:sz w:val="24"/>
          <w:szCs w:val="24"/>
          <w:lang w:eastAsia="de-DE"/>
        </w:rPr>
        <w:softHyphen/>
        <w:t>nahmen siehe (</w:t>
      </w:r>
      <w:hyperlink r:id="rId10" w:tooltip="Kontaktpersonen-Nachverfolgung bei respiratorischen Erkrankungen durch das Coronavirus SARS-CoV-2" w:history="1">
        <w:r>
          <w:rPr>
            <w:rFonts w:ascii="Times New Roman" w:eastAsia="Times New Roman" w:hAnsi="Times New Roman" w:cs="Times New Roman"/>
            <w:color w:val="0000FF"/>
            <w:sz w:val="24"/>
            <w:szCs w:val="24"/>
            <w:u w:val="single"/>
            <w:lang w:eastAsia="de-DE"/>
          </w:rPr>
          <w:t>www.rki.de/covid-19-kontaktpersonen</w:t>
        </w:r>
      </w:hyperlink>
      <w:r>
        <w:rPr>
          <w:rFonts w:ascii="Times New Roman" w:eastAsia="Times New Roman" w:hAnsi="Times New Roman" w:cs="Times New Roman"/>
          <w:sz w:val="24"/>
          <w:szCs w:val="24"/>
          <w:lang w:eastAsia="de-DE"/>
        </w:rPr>
        <w:t>)</w:t>
      </w:r>
      <w:r>
        <w:t xml:space="preserve"> und </w:t>
      </w:r>
      <w:r>
        <w:rPr>
          <w:rFonts w:ascii="Times New Roman" w:eastAsia="Times New Roman" w:hAnsi="Times New Roman" w:cs="Times New Roman"/>
          <w:sz w:val="24"/>
          <w:szCs w:val="24"/>
          <w:lang w:eastAsia="de-DE"/>
        </w:rPr>
        <w:t xml:space="preserve">„Ergänzende Grundsätze der medizinischen Versorgung in Zeiten der SARS-CoV-2-Epidemie“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Die folgenden Hinweise eröffnen Möglichkeiten zur Anpassung vor Ort. Diese Anpassungen sollten möglichst gemeinsam mit dem Gesundheitsamt und unter Berücksichtigung der angestrebten Schutzziele vorgenommen werden.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 w:name="doc13882490bodyText2"/>
      <w:bookmarkEnd w:id="3"/>
      <w:r>
        <w:rPr>
          <w:rFonts w:ascii="Times New Roman" w:eastAsia="Times New Roman" w:hAnsi="Times New Roman" w:cs="Times New Roman"/>
          <w:b/>
          <w:bCs/>
          <w:sz w:val="36"/>
          <w:szCs w:val="36"/>
          <w:lang w:eastAsia="de-DE"/>
        </w:rPr>
        <w:t>II. Mögliche Anpassung der Empfehlungen für Kontaktpersonen unter Personal von Alten- und Pflegeeinrichtungen an Situationen mit akutem Personalmangel</w:t>
      </w:r>
    </w:p>
    <w:p>
      <w:pPr>
        <w:rPr>
          <w:rFonts w:ascii="Times New Roman" w:eastAsia="Times New Roman" w:hAnsi="Times New Roman" w:cs="Times New Roman"/>
          <w:sz w:val="24"/>
          <w:szCs w:val="24"/>
        </w:rPr>
      </w:pPr>
      <w:r>
        <w:rPr>
          <w:rFonts w:ascii="Times New Roman" w:hAnsi="Times New Roman" w:cs="Times New Roman"/>
          <w:sz w:val="24"/>
          <w:szCs w:val="24"/>
        </w:rPr>
        <w:t>Liegt eine Situation mit relevantem Personalmangel in der Versorgung der Bewohnerinnen und Bewohner vor, können Kontaktpersonen der Kategorie I unter dem Personal unter bestimmten Voraussetzungen vom Gesundheitsamt vorzeitig wieder zur Arbeit zugelassen werden. Diese Möglichkeit besteht unabhängig davon, ob der Risikokontakt in der privaten oder beruflichen Umgebung stattgefunden hat. Außerhalb ihrer medizinisch/pflegerischen Tätigkeit unterliegen die Beschäftigten weitgehend den allgemeinen Empfehlungen zum Management von Kontaktpersonen in der Allgemeinbevölkerung. Die Fahrt mit öffentlichen Verkehrsmitteln ist erlaubt. Auf keinen Fall dürfen aber in der Quarantänezeit z.B. Veranstaltungen, Geschäfte oder Restaurants besucht werden.</w:t>
      </w:r>
      <w:r>
        <w:rPr>
          <w:rFonts w:ascii="Times New Roman" w:eastAsia="Times New Roman" w:hAnsi="Times New Roman" w:cs="Times New Roman"/>
          <w:sz w:val="24"/>
          <w:szCs w:val="24"/>
        </w:rPr>
        <w:t xml:space="preserve"> </w:t>
      </w:r>
    </w:p>
    <w:p>
      <w:pPr>
        <w:rPr>
          <w:rFonts w:ascii="Times New Roman" w:hAnsi="Times New Roman" w:cs="Times New Roman"/>
          <w:sz w:val="24"/>
          <w:szCs w:val="24"/>
        </w:rPr>
      </w:pPr>
      <w:r>
        <w:rPr>
          <w:rFonts w:ascii="Times New Roman" w:eastAsia="Times New Roman" w:hAnsi="Times New Roman" w:cs="Times New Roman"/>
          <w:sz w:val="24"/>
          <w:szCs w:val="24"/>
        </w:rPr>
        <w:t>Mögliche Anpassung der Empfehlungen für Kontaktpersonen Kategorie I</w:t>
      </w:r>
    </w:p>
    <w:p>
      <w:pPr>
        <w:pStyle w:val="Listenabsatz"/>
        <w:numPr>
          <w:ilvl w:val="0"/>
          <w:numId w:val="10"/>
        </w:numPr>
        <w:rPr>
          <w:rFonts w:ascii="Times New Roman" w:hAnsi="Times New Roman" w:cs="Times New Roman"/>
          <w:sz w:val="24"/>
          <w:szCs w:val="24"/>
        </w:rPr>
      </w:pPr>
      <w:r>
        <w:rPr>
          <w:rFonts w:ascii="Times New Roman" w:hAnsi="Times New Roman" w:cs="Times New Roman"/>
          <w:sz w:val="24"/>
          <w:szCs w:val="24"/>
        </w:rPr>
        <w:t>Häusliche Quarantäne mindestens in den ersten 7 Tagen nach Exposition</w:t>
      </w:r>
    </w:p>
    <w:p>
      <w:pPr>
        <w:pStyle w:val="Listenabsatz"/>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 xml:space="preserve">Frühestens ab </w:t>
      </w:r>
      <w:r>
        <w:rPr>
          <w:rFonts w:ascii="Times New Roman" w:hAnsi="Times New Roman" w:cs="Times New Roman"/>
          <w:sz w:val="24"/>
          <w:szCs w:val="24"/>
        </w:rPr>
        <w:t>Tag 8</w:t>
      </w:r>
      <w:r>
        <w:rPr>
          <w:rFonts w:ascii="Times New Roman" w:hAnsi="Times New Roman" w:cs="Times New Roman"/>
          <w:sz w:val="24"/>
          <w:szCs w:val="24"/>
        </w:rPr>
        <w:t xml:space="preserve"> </w:t>
      </w:r>
      <w:r>
        <w:rPr>
          <w:rFonts w:ascii="Times New Roman" w:hAnsi="Times New Roman" w:cs="Times New Roman"/>
          <w:sz w:val="24"/>
          <w:szCs w:val="24"/>
        </w:rPr>
        <w:t xml:space="preserve">nach Exposition </w:t>
      </w:r>
      <w:r>
        <w:rPr>
          <w:rFonts w:ascii="Times New Roman" w:hAnsi="Times New Roman" w:cs="Times New Roman"/>
          <w:sz w:val="24"/>
          <w:szCs w:val="24"/>
        </w:rPr>
        <w:t>bis Ende der Quarantäne</w:t>
      </w:r>
      <w:r>
        <w:rPr>
          <w:rFonts w:ascii="Times New Roman" w:hAnsi="Times New Roman" w:cs="Times New Roman"/>
          <w:sz w:val="24"/>
          <w:szCs w:val="24"/>
        </w:rPr>
        <w:t xml:space="preserve"> bei anhaltender Symptomfreiheit: </w:t>
      </w:r>
    </w:p>
    <w:p>
      <w:pPr>
        <w:pStyle w:val="Listenabsatz"/>
        <w:numPr>
          <w:ilvl w:val="1"/>
          <w:numId w:val="10"/>
        </w:numPr>
        <w:rPr>
          <w:rFonts w:ascii="Times New Roman" w:hAnsi="Times New Roman" w:cs="Times New Roman"/>
          <w:sz w:val="24"/>
          <w:szCs w:val="24"/>
        </w:rPr>
      </w:pPr>
      <w:r>
        <w:rPr>
          <w:rFonts w:ascii="Times New Roman" w:hAnsi="Times New Roman" w:cs="Times New Roman"/>
          <w:sz w:val="24"/>
          <w:szCs w:val="24"/>
        </w:rPr>
        <w:t>die häusliche Quarantäne kann zum Zweck der Tätigkeitsaufnahme aufgehoben werden</w:t>
      </w:r>
    </w:p>
    <w:p>
      <w:pPr>
        <w:pStyle w:val="Listenabsatz"/>
        <w:numPr>
          <w:ilvl w:val="0"/>
          <w:numId w:val="10"/>
        </w:numPr>
        <w:rPr>
          <w:rFonts w:ascii="Times New Roman" w:hAnsi="Times New Roman" w:cs="Times New Roman"/>
          <w:sz w:val="24"/>
          <w:szCs w:val="24"/>
        </w:rPr>
      </w:pPr>
      <w:bookmarkStart w:id="4" w:name="_Hlk56668500"/>
      <w:r>
        <w:rPr>
          <w:rFonts w:ascii="Times New Roman" w:hAnsi="Times New Roman" w:cs="Times New Roman"/>
          <w:sz w:val="24"/>
          <w:szCs w:val="24"/>
        </w:rPr>
        <w:t>So früh wie möglich SARS-CoV-2 Testungen, und regelmäßige Wiederholung bis Ende der Quarantäne</w:t>
      </w:r>
    </w:p>
    <w:p>
      <w:pPr>
        <w:pStyle w:val="Listenabsatz"/>
        <w:numPr>
          <w:ilvl w:val="0"/>
          <w:numId w:val="10"/>
        </w:numPr>
        <w:rPr>
          <w:rFonts w:ascii="Times New Roman" w:hAnsi="Times New Roman" w:cs="Times New Roman"/>
          <w:sz w:val="24"/>
          <w:szCs w:val="24"/>
        </w:rPr>
      </w:pPr>
      <w:bookmarkStart w:id="5" w:name="_Hlk56668548"/>
      <w:bookmarkEnd w:id="4"/>
      <w:r>
        <w:rPr>
          <w:rFonts w:ascii="Times New Roman" w:hAnsi="Times New Roman" w:cs="Times New Roman"/>
          <w:sz w:val="24"/>
          <w:szCs w:val="24"/>
        </w:rPr>
        <w:t>Intensivierte Selbstbeobachtung und zusätzliche Dokumentation (bis Ende der Quarantäne)</w:t>
      </w:r>
    </w:p>
    <w:bookmarkEnd w:id="5"/>
    <w:p>
      <w:pPr>
        <w:spacing w:before="100" w:beforeAutospacing="1" w:after="100" w:afterAutospacing="1" w:line="240" w:lineRule="auto"/>
        <w:rPr>
          <w:rFonts w:ascii="Times New Roman" w:eastAsia="Times New Roman" w:hAnsi="Times New Roman" w:cs="Times New Roman"/>
          <w:bCs/>
          <w:sz w:val="24"/>
          <w:szCs w:val="24"/>
          <w:lang w:eastAsia="de-DE"/>
        </w:rPr>
      </w:pPr>
      <w:r>
        <w:rPr>
          <w:rFonts w:ascii="Times New Roman" w:eastAsia="Times New Roman" w:hAnsi="Times New Roman" w:cs="Times New Roman"/>
          <w:b/>
          <w:bCs/>
          <w:sz w:val="24"/>
          <w:szCs w:val="24"/>
          <w:lang w:eastAsia="de-DE"/>
        </w:rPr>
        <w:t>Bei Auftreten von Sympto</w:t>
      </w:r>
      <w:r>
        <w:rPr>
          <w:rFonts w:ascii="Times New Roman" w:eastAsia="Times New Roman" w:hAnsi="Times New Roman" w:cs="Times New Roman"/>
          <w:b/>
          <w:sz w:val="24"/>
          <w:szCs w:val="24"/>
          <w:lang w:eastAsia="de-DE"/>
        </w:rPr>
        <w:softHyphen/>
      </w:r>
      <w:r>
        <w:rPr>
          <w:rFonts w:ascii="Times New Roman" w:eastAsia="Times New Roman" w:hAnsi="Times New Roman" w:cs="Times New Roman"/>
          <w:b/>
          <w:bCs/>
          <w:sz w:val="24"/>
          <w:szCs w:val="24"/>
          <w:lang w:eastAsia="de-DE"/>
        </w:rPr>
        <w:t>men vereinbar mit einer COVID-19- Erkrankung</w:t>
      </w:r>
      <w:r>
        <w:rPr>
          <w:rFonts w:ascii="Times New Roman" w:eastAsia="Times New Roman" w:hAnsi="Times New Roman" w:cs="Times New Roman"/>
          <w:bCs/>
          <w:sz w:val="24"/>
          <w:szCs w:val="24"/>
          <w:lang w:eastAsia="de-DE"/>
        </w:rPr>
        <w:t xml:space="preserve">: </w:t>
      </w:r>
    </w:p>
    <w:p>
      <w:pPr>
        <w:pStyle w:val="Listenabsatz"/>
        <w:numPr>
          <w:ilvl w:val="0"/>
          <w:numId w:val="20"/>
        </w:numPr>
        <w:spacing w:before="100" w:beforeAutospacing="1" w:after="100" w:afterAutospacing="1" w:line="240" w:lineRule="auto"/>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Umgehende Freistellung von der beruflichen Tätigkeit</w:t>
      </w:r>
    </w:p>
    <w:p>
      <w:pPr>
        <w:pStyle w:val="Listenabsatz"/>
        <w:numPr>
          <w:ilvl w:val="0"/>
          <w:numId w:val="20"/>
        </w:numPr>
        <w:spacing w:before="100" w:beforeAutospacing="1" w:after="100" w:afterAutospacing="1" w:line="240" w:lineRule="auto"/>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Testung auf SARS-COV-2 und Selbstisolation bis zum Ergebnis</w:t>
      </w:r>
    </w:p>
    <w:p>
      <w:pPr>
        <w:pStyle w:val="Listenabsatz"/>
        <w:numPr>
          <w:ilvl w:val="0"/>
          <w:numId w:val="20"/>
        </w:numPr>
        <w:spacing w:before="100" w:beforeAutospacing="1" w:after="100" w:afterAutospacing="1" w:line="240" w:lineRule="auto"/>
        <w:rPr>
          <w:rFonts w:ascii="Times New Roman" w:eastAsia="Times New Roman" w:hAnsi="Times New Roman" w:cs="Times New Roman"/>
          <w:bCs/>
          <w:sz w:val="24"/>
          <w:szCs w:val="24"/>
          <w:lang w:eastAsia="de-DE"/>
        </w:rPr>
      </w:pPr>
      <w:r>
        <w:t xml:space="preserve">Bei positivem Test siehe „SARS-COV-2-positives Personal” </w:t>
      </w:r>
    </w:p>
    <w:p>
      <w:pPr>
        <w:spacing w:before="100" w:beforeAutospacing="1" w:after="100" w:afterAutospacing="1" w:line="240" w:lineRule="auto"/>
        <w:rPr>
          <w:rFonts w:ascii="Times New Roman" w:eastAsia="Times New Roman" w:hAnsi="Times New Roman" w:cs="Times New Roman"/>
          <w:b/>
          <w:bCs/>
          <w:sz w:val="24"/>
          <w:szCs w:val="24"/>
          <w:lang w:val="en-US" w:eastAsia="de-DE"/>
        </w:rPr>
      </w:pPr>
      <w:r>
        <w:rPr>
          <w:rFonts w:ascii="Times New Roman" w:eastAsia="Times New Roman" w:hAnsi="Times New Roman" w:cs="Times New Roman"/>
          <w:b/>
          <w:bCs/>
          <w:sz w:val="24"/>
          <w:szCs w:val="24"/>
          <w:lang w:val="en-US" w:eastAsia="de-DE"/>
        </w:rPr>
        <w:t>SARS-COV-2-positives Personal</w:t>
      </w:r>
    </w:p>
    <w:p>
      <w:pPr>
        <w:pStyle w:val="Listenabsatz"/>
        <w:numPr>
          <w:ilvl w:val="0"/>
          <w:numId w:val="19"/>
        </w:numPr>
        <w:spacing w:before="100" w:beforeAutospacing="1" w:after="100" w:afterAutospacing="1" w:line="240" w:lineRule="auto"/>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Keine Versorgung von Bewohnerinnen und Bewohnern</w:t>
      </w:r>
    </w:p>
    <w:p>
      <w:pPr>
        <w:pStyle w:val="Listenabsatz"/>
        <w:numPr>
          <w:ilvl w:val="0"/>
          <w:numId w:val="19"/>
        </w:numPr>
        <w:spacing w:before="100" w:beforeAutospacing="1" w:after="100" w:afterAutospacing="1" w:line="240" w:lineRule="auto"/>
        <w:rPr>
          <w:rFonts w:ascii="Times New Roman" w:hAnsi="Times New Roman" w:cs="Times New Roman"/>
          <w:b/>
          <w:sz w:val="24"/>
          <w:szCs w:val="24"/>
          <w:u w:val="single"/>
        </w:rPr>
      </w:pPr>
      <w:r>
        <w:rPr>
          <w:rFonts w:ascii="Times New Roman" w:eastAsia="Times New Roman" w:hAnsi="Times New Roman" w:cs="Times New Roman"/>
          <w:bCs/>
          <w:sz w:val="24"/>
          <w:szCs w:val="24"/>
          <w:lang w:eastAsia="de-DE"/>
        </w:rPr>
        <w:t xml:space="preserve">Kriterien für die Wiederaufnahme der Arbeit entsprechend dem Dokument </w:t>
      </w:r>
      <w:hyperlink r:id="rId12" w:tooltip="COVID-19: Entlassungskriterien aus der Isolierung" w:history="1">
        <w:r>
          <w:rPr>
            <w:rFonts w:ascii="Times New Roman" w:eastAsia="Times New Roman" w:hAnsi="Times New Roman" w:cs="Times New Roman"/>
            <w:color w:val="0000FF"/>
            <w:sz w:val="24"/>
            <w:szCs w:val="24"/>
            <w:u w:val="single"/>
            <w:lang w:eastAsia="de-DE"/>
          </w:rPr>
          <w:t>COVID-19: Entlassungs</w:t>
        </w:r>
        <w:r>
          <w:rPr>
            <w:rFonts w:ascii="Times New Roman" w:eastAsia="Times New Roman" w:hAnsi="Times New Roman" w:cs="Times New Roman"/>
            <w:color w:val="0000FF"/>
            <w:sz w:val="24"/>
            <w:szCs w:val="24"/>
            <w:u w:val="single"/>
            <w:lang w:eastAsia="de-DE"/>
          </w:rPr>
          <w:softHyphen/>
          <w:t>kriterien aus der Isolierung</w:t>
        </w:r>
      </w:hyperlink>
    </w:p>
    <w:p>
      <w:pPr>
        <w:pStyle w:val="Listenabsatz"/>
        <w:spacing w:before="100" w:beforeAutospacing="1" w:after="100" w:afterAutospacing="1" w:line="240" w:lineRule="auto"/>
        <w:ind w:left="405"/>
        <w:rPr>
          <w:rFonts w:ascii="Times New Roman" w:hAnsi="Times New Roman" w:cs="Times New Roman"/>
          <w:b/>
          <w:sz w:val="24"/>
          <w:szCs w:val="24"/>
          <w:u w:val="single"/>
        </w:rPr>
      </w:pP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 xml:space="preserve">III. Ergänzende Hinweise </w:t>
      </w:r>
      <w:bookmarkStart w:id="6" w:name="_Hlk57299286"/>
    </w:p>
    <w:p>
      <w:pPr>
        <w:pStyle w:val="Listenabsatz"/>
        <w:numPr>
          <w:ilvl w:val="0"/>
          <w:numId w:val="16"/>
        </w:numPr>
        <w:spacing w:before="100" w:beforeAutospacing="1" w:after="100" w:afterAutospacing="1" w:line="240" w:lineRule="auto"/>
        <w:outlineLvl w:val="1"/>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„Ergänzende Grundsätze der medizinischen Versorgung in Zeiten der SARS-CoV-2-Epidemie“</w:t>
      </w:r>
    </w:p>
    <w:p>
      <w:pPr>
        <w:pStyle w:val="Listenabsatz"/>
        <w:numPr>
          <w:ilvl w:val="0"/>
          <w:numId w:val="16"/>
        </w:numPr>
        <w:spacing w:before="100" w:beforeAutospacing="1" w:after="100" w:afterAutospacing="1" w:line="240" w:lineRule="auto"/>
        <w:outlineLvl w:val="1"/>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Maßnahmen zu Prävention und Management von COVID-19 in Gesundheitseinrichtungen </w:t>
      </w:r>
    </w:p>
    <w:p>
      <w:pPr>
        <w:pStyle w:val="Listenabsatz"/>
        <w:numPr>
          <w:ilvl w:val="0"/>
          <w:numId w:val="16"/>
        </w:numPr>
        <w:spacing w:before="100" w:beforeAutospacing="1" w:after="100" w:afterAutospacing="1" w:line="240" w:lineRule="auto"/>
        <w:outlineLvl w:val="1"/>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Prävention und Management von COVID-19 in Alten- und Pflegeheimen und Einrichtungen für Menschen mit Beeinträchtigungen und Behinderungen</w:t>
      </w:r>
    </w:p>
    <w:p>
      <w:pPr>
        <w:pStyle w:val="Listenabsatz"/>
        <w:numPr>
          <w:ilvl w:val="0"/>
          <w:numId w:val="16"/>
        </w:numPr>
        <w:spacing w:before="100" w:beforeAutospacing="1" w:after="100" w:afterAutospacing="1" w:line="240" w:lineRule="auto"/>
        <w:outlineLvl w:val="1"/>
        <w:rPr>
          <w:rFonts w:ascii="Times New Roman" w:eastAsia="Times New Roman" w:hAnsi="Times New Roman" w:cs="Times New Roman"/>
          <w:sz w:val="24"/>
          <w:szCs w:val="24"/>
          <w:lang w:eastAsia="de-DE"/>
        </w:rPr>
      </w:pPr>
      <w:hyperlink r:id="rId13" w:tooltip="Empfehlungen des RKI zu Hygienemaßnahmen im Rahmen der Behandlung und Pflege von Patienten mit einer Infektion durch SARS-CoV-2" w:history="1">
        <w:r>
          <w:rPr>
            <w:rFonts w:ascii="Times New Roman" w:eastAsia="Times New Roman" w:hAnsi="Times New Roman" w:cs="Times New Roman"/>
            <w:color w:val="0000FF"/>
            <w:sz w:val="24"/>
            <w:szCs w:val="24"/>
            <w:u w:val="single"/>
            <w:lang w:eastAsia="de-DE"/>
          </w:rPr>
          <w:t>Empfeh</w:t>
        </w:r>
      </w:hyperlink>
      <w:r>
        <w:rPr>
          <w:rFonts w:ascii="Times New Roman" w:eastAsia="Times New Roman" w:hAnsi="Times New Roman" w:cs="Times New Roman"/>
          <w:sz w:val="24"/>
          <w:szCs w:val="24"/>
          <w:lang w:eastAsia="de-DE"/>
        </w:rPr>
        <w:softHyphen/>
      </w:r>
      <w:hyperlink r:id="rId14" w:tooltip="Empfehlungen des RKI zu Hygienemaßnahmen im Rahmen der Behandlung und Pflege von Patienten mit einer Infektion durch SARS-CoV-2" w:history="1">
        <w:r>
          <w:rPr>
            <w:rFonts w:ascii="Times New Roman" w:eastAsia="Times New Roman" w:hAnsi="Times New Roman" w:cs="Times New Roman"/>
            <w:color w:val="0000FF"/>
            <w:sz w:val="24"/>
            <w:szCs w:val="24"/>
            <w:u w:val="single"/>
            <w:lang w:eastAsia="de-DE"/>
          </w:rPr>
          <w:t>lungen des RKI zu Hygiene</w:t>
        </w:r>
      </w:hyperlink>
      <w:r>
        <w:rPr>
          <w:rFonts w:ascii="Times New Roman" w:eastAsia="Times New Roman" w:hAnsi="Times New Roman" w:cs="Times New Roman"/>
          <w:sz w:val="24"/>
          <w:szCs w:val="24"/>
          <w:lang w:eastAsia="de-DE"/>
        </w:rPr>
        <w:softHyphen/>
      </w:r>
      <w:hyperlink r:id="rId15" w:tooltip="Empfehlungen des RKI zu Hygienemaßnahmen im Rahmen der Behandlung und Pflege von Patienten mit einer Infektion durch SARS-CoV-2" w:history="1">
        <w:r>
          <w:rPr>
            <w:rFonts w:ascii="Times New Roman" w:eastAsia="Times New Roman" w:hAnsi="Times New Roman" w:cs="Times New Roman"/>
            <w:color w:val="0000FF"/>
            <w:sz w:val="24"/>
            <w:szCs w:val="24"/>
            <w:u w:val="single"/>
            <w:lang w:eastAsia="de-DE"/>
          </w:rPr>
          <w:t>maßnahmen im Rahmen der Behandlung und Pflege von Patienten mit einer Infektion durch SARS-CoV-2</w:t>
        </w:r>
      </w:hyperlink>
    </w:p>
    <w:p>
      <w:pPr>
        <w:pStyle w:val="Listenabsatz"/>
        <w:numPr>
          <w:ilvl w:val="0"/>
          <w:numId w:val="21"/>
        </w:numPr>
        <w:spacing w:before="100" w:beforeAutospacing="1" w:after="100" w:afterAutospacing="1" w:line="240" w:lineRule="auto"/>
        <w:ind w:left="405"/>
        <w:outlineLvl w:val="1"/>
        <w:rPr>
          <w:rStyle w:val="Hyperlink"/>
          <w:rFonts w:ascii="Times New Roman" w:eastAsia="Times New Roman" w:hAnsi="Times New Roman" w:cs="Times New Roman"/>
          <w:kern w:val="36"/>
          <w:sz w:val="24"/>
          <w:szCs w:val="24"/>
          <w:lang w:eastAsia="de-DE"/>
        </w:rPr>
      </w:pPr>
      <w:hyperlink r:id="rId16" w:history="1">
        <w:r>
          <w:rPr>
            <w:rStyle w:val="Hyperlink"/>
            <w:rFonts w:ascii="Times New Roman" w:eastAsia="Times New Roman" w:hAnsi="Times New Roman" w:cs="Times New Roman"/>
            <w:kern w:val="36"/>
            <w:sz w:val="24"/>
            <w:szCs w:val="24"/>
            <w:lang w:eastAsia="de-DE"/>
          </w:rPr>
          <w:t>Hinweise für ambulante Pflegedienste im Rahmen der COVID-19-Pandemie</w:t>
        </w:r>
      </w:hyperlink>
    </w:p>
    <w:p>
      <w:pPr>
        <w:pStyle w:val="Listenabsatz"/>
        <w:numPr>
          <w:ilvl w:val="0"/>
          <w:numId w:val="21"/>
        </w:numPr>
        <w:spacing w:before="100" w:beforeAutospacing="1" w:after="100" w:afterAutospacing="1" w:line="240" w:lineRule="auto"/>
        <w:ind w:left="405"/>
        <w:outlineLvl w:val="1"/>
        <w:rPr>
          <w:rFonts w:ascii="Times New Roman" w:eastAsia="Times New Roman" w:hAnsi="Times New Roman" w:cs="Times New Roman"/>
          <w:sz w:val="24"/>
          <w:szCs w:val="24"/>
          <w:lang w:eastAsia="de-DE"/>
        </w:rPr>
      </w:pPr>
      <w:hyperlink r:id="rId17" w:history="1">
        <w:r>
          <w:rPr>
            <w:rStyle w:val="Hyperlink"/>
            <w:rFonts w:ascii="Times New Roman" w:eastAsia="Times New Roman" w:hAnsi="Times New Roman" w:cs="Times New Roman"/>
            <w:kern w:val="36"/>
            <w:sz w:val="24"/>
            <w:szCs w:val="24"/>
            <w:lang w:eastAsia="de-DE"/>
          </w:rPr>
          <w:t>Erweiterte Hygienemaßnahmen im Gesundheitswesen im Rahmen der COVID-19 Pandemie</w:t>
        </w:r>
      </w:hyperlink>
    </w:p>
    <w:p>
      <w:pPr>
        <w:pStyle w:val="Listenabsatz"/>
        <w:numPr>
          <w:ilvl w:val="0"/>
          <w:numId w:val="21"/>
        </w:numPr>
        <w:spacing w:before="100" w:beforeAutospacing="1" w:after="100" w:afterAutospacing="1" w:line="240" w:lineRule="auto"/>
        <w:ind w:left="405"/>
        <w:outlineLvl w:val="1"/>
        <w:rPr>
          <w:rFonts w:ascii="Times New Roman" w:eastAsia="Times New Roman" w:hAnsi="Times New Roman" w:cs="Times New Roman"/>
          <w:sz w:val="24"/>
          <w:szCs w:val="24"/>
          <w:lang w:eastAsia="de-DE"/>
        </w:rPr>
      </w:pPr>
      <w:r>
        <w:rPr>
          <w:rFonts w:ascii="Times New Roman" w:eastAsia="Times New Roman" w:hAnsi="Times New Roman" w:cs="Times New Roman"/>
          <w:color w:val="0070C0"/>
          <w:kern w:val="36"/>
          <w:sz w:val="24"/>
          <w:szCs w:val="24"/>
          <w:u w:val="single"/>
          <w:lang w:eastAsia="de-DE"/>
        </w:rPr>
        <w:t>Nationale Teststrategie</w:t>
      </w:r>
    </w:p>
    <w:p>
      <w:pPr>
        <w:pStyle w:val="Listenabsatz"/>
        <w:numPr>
          <w:ilvl w:val="0"/>
          <w:numId w:val="21"/>
        </w:numPr>
        <w:spacing w:before="100" w:beforeAutospacing="1" w:after="100" w:afterAutospacing="1" w:line="240" w:lineRule="auto"/>
        <w:ind w:left="405"/>
        <w:outlineLvl w:val="1"/>
        <w:rPr>
          <w:rFonts w:ascii="Times New Roman" w:eastAsia="Times New Roman" w:hAnsi="Times New Roman" w:cs="Times New Roman"/>
          <w:sz w:val="24"/>
          <w:szCs w:val="24"/>
          <w:lang w:eastAsia="de-DE"/>
        </w:rPr>
      </w:pPr>
      <w:hyperlink r:id="rId18" w:history="1">
        <w:r>
          <w:rPr>
            <w:rStyle w:val="Hyperlink"/>
            <w:rFonts w:ascii="Times New Roman" w:eastAsia="Times New Roman" w:hAnsi="Times New Roman" w:cs="Times New Roman"/>
            <w:sz w:val="24"/>
            <w:szCs w:val="24"/>
            <w:lang w:eastAsia="de-DE"/>
          </w:rPr>
          <w:t>Optionen zur vorzeitigen Tätigkeitsaufnahme von Kontaktpersonen unter medizinischem Personal in Arztpraxen und Krankenhäusern in einer Situation mit relevantem Personalmangel</w:t>
        </w:r>
      </w:hyperlink>
    </w:p>
    <w:bookmarkEnd w:id="6"/>
    <w:p>
      <w:pPr>
        <w:pStyle w:val="Listenabsatz"/>
        <w:spacing w:before="100" w:beforeAutospacing="1" w:after="100" w:afterAutospacing="1" w:line="240" w:lineRule="auto"/>
        <w:ind w:left="405"/>
        <w:outlineLvl w:val="1"/>
        <w:rPr>
          <w:rFonts w:ascii="Times New Roman" w:eastAsia="Times New Roman" w:hAnsi="Times New Roman" w:cs="Times New Roman"/>
          <w:color w:val="0070C0"/>
          <w:kern w:val="36"/>
          <w:sz w:val="24"/>
          <w:szCs w:val="24"/>
          <w:u w:val="single"/>
          <w:lang w:eastAsia="de-DE"/>
        </w:rPr>
      </w:pPr>
    </w:p>
    <w:p>
      <w:pPr>
        <w:pStyle w:val="Listenabsatz"/>
        <w:spacing w:before="100" w:beforeAutospacing="1" w:after="100" w:afterAutospacing="1" w:line="240" w:lineRule="auto"/>
        <w:ind w:left="405"/>
        <w:outlineLvl w:val="1"/>
        <w:rPr>
          <w:rFonts w:ascii="Times New Roman" w:eastAsia="Times New Roman" w:hAnsi="Times New Roman" w:cs="Times New Roman"/>
          <w:color w:val="0070C0"/>
          <w:kern w:val="36"/>
          <w:sz w:val="24"/>
          <w:szCs w:val="24"/>
          <w:u w:val="single"/>
          <w:lang w:eastAsia="de-DE"/>
        </w:rPr>
      </w:pPr>
    </w:p>
    <w:p>
      <w:pPr>
        <w:pStyle w:val="Listenabsatz"/>
        <w:spacing w:before="100" w:beforeAutospacing="1" w:after="100" w:afterAutospacing="1" w:line="240" w:lineRule="auto"/>
        <w:ind w:left="405"/>
        <w:outlineLvl w:val="1"/>
        <w:rPr>
          <w:rFonts w:ascii="Times New Roman" w:eastAsia="Times New Roman" w:hAnsi="Times New Roman" w:cs="Times New Roman"/>
          <w:sz w:val="24"/>
          <w:szCs w:val="24"/>
          <w:lang w:eastAsia="de-DE"/>
        </w:rPr>
      </w:pPr>
      <w:r>
        <w:rPr>
          <w:rFonts w:ascii="Times New Roman" w:eastAsia="Times New Roman" w:hAnsi="Times New Roman" w:cs="Times New Roman"/>
          <w:kern w:val="36"/>
          <w:sz w:val="24"/>
          <w:szCs w:val="24"/>
          <w:lang w:eastAsia="de-DE"/>
        </w:rPr>
        <w:t>Stand: 26.11.2020</w:t>
      </w:r>
      <w:r>
        <w:rPr>
          <w:rFonts w:ascii="Times New Roman" w:eastAsia="Times New Roman" w:hAnsi="Times New Roman" w:cs="Times New Roman"/>
          <w:kern w:val="36"/>
          <w:sz w:val="24"/>
          <w:szCs w:val="24"/>
          <w:lang w:eastAsia="de-DE"/>
        </w:rPr>
        <w:br/>
      </w:r>
      <w:bookmarkStart w:id="7" w:name="_GoBack"/>
      <w:bookmarkEnd w:id="7"/>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calaSansPro">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33E45"/>
    <w:multiLevelType w:val="hybridMultilevel"/>
    <w:tmpl w:val="CD6637C2"/>
    <w:lvl w:ilvl="0" w:tplc="A3FA30B6">
      <w:start w:val="1"/>
      <w:numFmt w:val="bullet"/>
      <w:lvlText w:val=""/>
      <w:lvlJc w:val="left"/>
      <w:pPr>
        <w:ind w:left="405" w:hanging="360"/>
      </w:pPr>
      <w:rPr>
        <w:rFonts w:ascii="Symbol" w:hAnsi="Symbol"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786E95"/>
    <w:multiLevelType w:val="hybridMultilevel"/>
    <w:tmpl w:val="3A9AB7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5F5D2B"/>
    <w:multiLevelType w:val="hybridMultilevel"/>
    <w:tmpl w:val="289E7F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6B2966"/>
    <w:multiLevelType w:val="multilevel"/>
    <w:tmpl w:val="3202DF6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CD673B"/>
    <w:multiLevelType w:val="multilevel"/>
    <w:tmpl w:val="1970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3A0273"/>
    <w:multiLevelType w:val="hybridMultilevel"/>
    <w:tmpl w:val="E144890A"/>
    <w:lvl w:ilvl="0" w:tplc="C8FE5E16">
      <w:start w:val="1"/>
      <w:numFmt w:val="decimal"/>
      <w:lvlText w:val="%1."/>
      <w:lvlJc w:val="left"/>
      <w:pPr>
        <w:ind w:left="405" w:hanging="360"/>
      </w:pPr>
      <w:rPr>
        <w:rFonts w:hint="default"/>
      </w:rPr>
    </w:lvl>
    <w:lvl w:ilvl="1" w:tplc="04070003">
      <w:start w:val="1"/>
      <w:numFmt w:val="bullet"/>
      <w:lvlText w:val="o"/>
      <w:lvlJc w:val="left"/>
      <w:pPr>
        <w:ind w:left="1125" w:hanging="360"/>
      </w:pPr>
      <w:rPr>
        <w:rFonts w:ascii="Courier New" w:hAnsi="Courier New" w:cs="Courier New" w:hint="default"/>
      </w:rPr>
    </w:lvl>
    <w:lvl w:ilvl="2" w:tplc="04070005">
      <w:start w:val="1"/>
      <w:numFmt w:val="bullet"/>
      <w:lvlText w:val=""/>
      <w:lvlJc w:val="left"/>
      <w:pPr>
        <w:ind w:left="1845" w:hanging="360"/>
      </w:pPr>
      <w:rPr>
        <w:rFonts w:ascii="Wingdings" w:hAnsi="Wingdings" w:hint="default"/>
      </w:rPr>
    </w:lvl>
    <w:lvl w:ilvl="3" w:tplc="0407000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6" w15:restartNumberingAfterBreak="0">
    <w:nsid w:val="34C3555F"/>
    <w:multiLevelType w:val="hybridMultilevel"/>
    <w:tmpl w:val="B8089B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7347EE9"/>
    <w:multiLevelType w:val="multilevel"/>
    <w:tmpl w:val="1A381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CD729E"/>
    <w:multiLevelType w:val="multilevel"/>
    <w:tmpl w:val="D758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A551D9"/>
    <w:multiLevelType w:val="hybridMultilevel"/>
    <w:tmpl w:val="96F22B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C73179D"/>
    <w:multiLevelType w:val="multilevel"/>
    <w:tmpl w:val="52840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1426A9"/>
    <w:multiLevelType w:val="hybridMultilevel"/>
    <w:tmpl w:val="B9C651DC"/>
    <w:lvl w:ilvl="0" w:tplc="0407000F">
      <w:start w:val="1"/>
      <w:numFmt w:val="decimal"/>
      <w:lvlText w:val="%1."/>
      <w:lvlJc w:val="left"/>
      <w:pPr>
        <w:ind w:left="765" w:hanging="360"/>
      </w:pPr>
    </w:lvl>
    <w:lvl w:ilvl="1" w:tplc="04070019" w:tentative="1">
      <w:start w:val="1"/>
      <w:numFmt w:val="lowerLetter"/>
      <w:lvlText w:val="%2."/>
      <w:lvlJc w:val="left"/>
      <w:pPr>
        <w:ind w:left="1485" w:hanging="360"/>
      </w:pPr>
    </w:lvl>
    <w:lvl w:ilvl="2" w:tplc="0407001B" w:tentative="1">
      <w:start w:val="1"/>
      <w:numFmt w:val="lowerRoman"/>
      <w:lvlText w:val="%3."/>
      <w:lvlJc w:val="right"/>
      <w:pPr>
        <w:ind w:left="2205" w:hanging="180"/>
      </w:pPr>
    </w:lvl>
    <w:lvl w:ilvl="3" w:tplc="0407000F" w:tentative="1">
      <w:start w:val="1"/>
      <w:numFmt w:val="decimal"/>
      <w:lvlText w:val="%4."/>
      <w:lvlJc w:val="left"/>
      <w:pPr>
        <w:ind w:left="2925" w:hanging="360"/>
      </w:pPr>
    </w:lvl>
    <w:lvl w:ilvl="4" w:tplc="04070019" w:tentative="1">
      <w:start w:val="1"/>
      <w:numFmt w:val="lowerLetter"/>
      <w:lvlText w:val="%5."/>
      <w:lvlJc w:val="left"/>
      <w:pPr>
        <w:ind w:left="3645" w:hanging="360"/>
      </w:pPr>
    </w:lvl>
    <w:lvl w:ilvl="5" w:tplc="0407001B" w:tentative="1">
      <w:start w:val="1"/>
      <w:numFmt w:val="lowerRoman"/>
      <w:lvlText w:val="%6."/>
      <w:lvlJc w:val="right"/>
      <w:pPr>
        <w:ind w:left="4365" w:hanging="180"/>
      </w:pPr>
    </w:lvl>
    <w:lvl w:ilvl="6" w:tplc="0407000F" w:tentative="1">
      <w:start w:val="1"/>
      <w:numFmt w:val="decimal"/>
      <w:lvlText w:val="%7."/>
      <w:lvlJc w:val="left"/>
      <w:pPr>
        <w:ind w:left="5085" w:hanging="360"/>
      </w:pPr>
    </w:lvl>
    <w:lvl w:ilvl="7" w:tplc="04070019" w:tentative="1">
      <w:start w:val="1"/>
      <w:numFmt w:val="lowerLetter"/>
      <w:lvlText w:val="%8."/>
      <w:lvlJc w:val="left"/>
      <w:pPr>
        <w:ind w:left="5805" w:hanging="360"/>
      </w:pPr>
    </w:lvl>
    <w:lvl w:ilvl="8" w:tplc="0407001B" w:tentative="1">
      <w:start w:val="1"/>
      <w:numFmt w:val="lowerRoman"/>
      <w:lvlText w:val="%9."/>
      <w:lvlJc w:val="right"/>
      <w:pPr>
        <w:ind w:left="6525" w:hanging="180"/>
      </w:pPr>
    </w:lvl>
  </w:abstractNum>
  <w:abstractNum w:abstractNumId="12" w15:restartNumberingAfterBreak="0">
    <w:nsid w:val="575F1249"/>
    <w:multiLevelType w:val="hybridMultilevel"/>
    <w:tmpl w:val="6672AC10"/>
    <w:lvl w:ilvl="0" w:tplc="BAB4376A">
      <w:start w:val="2"/>
      <w:numFmt w:val="bullet"/>
      <w:lvlText w:val="-"/>
      <w:lvlJc w:val="left"/>
      <w:pPr>
        <w:ind w:left="765" w:hanging="360"/>
      </w:pPr>
      <w:rPr>
        <w:rFonts w:ascii="Calibri" w:eastAsia="Times New Roman" w:hAnsi="Calibri" w:cs="Calibri"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3" w15:restartNumberingAfterBreak="0">
    <w:nsid w:val="5E523F84"/>
    <w:multiLevelType w:val="hybridMultilevel"/>
    <w:tmpl w:val="CB1C731E"/>
    <w:lvl w:ilvl="0" w:tplc="A3FA30B6">
      <w:start w:val="1"/>
      <w:numFmt w:val="bullet"/>
      <w:lvlText w:val=""/>
      <w:lvlJc w:val="left"/>
      <w:pPr>
        <w:ind w:left="405" w:hanging="360"/>
      </w:pPr>
      <w:rPr>
        <w:rFonts w:ascii="Symbol" w:hAnsi="Symbol"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1956DF7"/>
    <w:multiLevelType w:val="hybridMultilevel"/>
    <w:tmpl w:val="B1DA8554"/>
    <w:lvl w:ilvl="0" w:tplc="0407000F">
      <w:start w:val="1"/>
      <w:numFmt w:val="decimal"/>
      <w:lvlText w:val="%1."/>
      <w:lvlJc w:val="left"/>
      <w:pPr>
        <w:ind w:left="765" w:hanging="360"/>
      </w:pPr>
    </w:lvl>
    <w:lvl w:ilvl="1" w:tplc="04070019" w:tentative="1">
      <w:start w:val="1"/>
      <w:numFmt w:val="lowerLetter"/>
      <w:lvlText w:val="%2."/>
      <w:lvlJc w:val="left"/>
      <w:pPr>
        <w:ind w:left="1485" w:hanging="360"/>
      </w:pPr>
    </w:lvl>
    <w:lvl w:ilvl="2" w:tplc="0407001B" w:tentative="1">
      <w:start w:val="1"/>
      <w:numFmt w:val="lowerRoman"/>
      <w:lvlText w:val="%3."/>
      <w:lvlJc w:val="right"/>
      <w:pPr>
        <w:ind w:left="2205" w:hanging="180"/>
      </w:pPr>
    </w:lvl>
    <w:lvl w:ilvl="3" w:tplc="0407000F" w:tentative="1">
      <w:start w:val="1"/>
      <w:numFmt w:val="decimal"/>
      <w:lvlText w:val="%4."/>
      <w:lvlJc w:val="left"/>
      <w:pPr>
        <w:ind w:left="2925" w:hanging="360"/>
      </w:pPr>
    </w:lvl>
    <w:lvl w:ilvl="4" w:tplc="04070019" w:tentative="1">
      <w:start w:val="1"/>
      <w:numFmt w:val="lowerLetter"/>
      <w:lvlText w:val="%5."/>
      <w:lvlJc w:val="left"/>
      <w:pPr>
        <w:ind w:left="3645" w:hanging="360"/>
      </w:pPr>
    </w:lvl>
    <w:lvl w:ilvl="5" w:tplc="0407001B" w:tentative="1">
      <w:start w:val="1"/>
      <w:numFmt w:val="lowerRoman"/>
      <w:lvlText w:val="%6."/>
      <w:lvlJc w:val="right"/>
      <w:pPr>
        <w:ind w:left="4365" w:hanging="180"/>
      </w:pPr>
    </w:lvl>
    <w:lvl w:ilvl="6" w:tplc="0407000F" w:tentative="1">
      <w:start w:val="1"/>
      <w:numFmt w:val="decimal"/>
      <w:lvlText w:val="%7."/>
      <w:lvlJc w:val="left"/>
      <w:pPr>
        <w:ind w:left="5085" w:hanging="360"/>
      </w:pPr>
    </w:lvl>
    <w:lvl w:ilvl="7" w:tplc="04070019" w:tentative="1">
      <w:start w:val="1"/>
      <w:numFmt w:val="lowerLetter"/>
      <w:lvlText w:val="%8."/>
      <w:lvlJc w:val="left"/>
      <w:pPr>
        <w:ind w:left="5805" w:hanging="360"/>
      </w:pPr>
    </w:lvl>
    <w:lvl w:ilvl="8" w:tplc="0407001B" w:tentative="1">
      <w:start w:val="1"/>
      <w:numFmt w:val="lowerRoman"/>
      <w:lvlText w:val="%9."/>
      <w:lvlJc w:val="right"/>
      <w:pPr>
        <w:ind w:left="6525" w:hanging="180"/>
      </w:pPr>
    </w:lvl>
  </w:abstractNum>
  <w:abstractNum w:abstractNumId="15" w15:restartNumberingAfterBreak="0">
    <w:nsid w:val="67AD14FC"/>
    <w:multiLevelType w:val="hybridMultilevel"/>
    <w:tmpl w:val="916EAAD6"/>
    <w:lvl w:ilvl="0" w:tplc="BAB4376A">
      <w:start w:val="2"/>
      <w:numFmt w:val="bullet"/>
      <w:lvlText w:val="-"/>
      <w:lvlJc w:val="left"/>
      <w:pPr>
        <w:ind w:left="765"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89602CD"/>
    <w:multiLevelType w:val="hybridMultilevel"/>
    <w:tmpl w:val="E144890A"/>
    <w:lvl w:ilvl="0" w:tplc="C8FE5E16">
      <w:start w:val="1"/>
      <w:numFmt w:val="decimal"/>
      <w:lvlText w:val="%1."/>
      <w:lvlJc w:val="left"/>
      <w:pPr>
        <w:ind w:left="405" w:hanging="360"/>
      </w:pPr>
      <w:rPr>
        <w:rFonts w:hint="default"/>
      </w:rPr>
    </w:lvl>
    <w:lvl w:ilvl="1" w:tplc="04070003">
      <w:start w:val="1"/>
      <w:numFmt w:val="bullet"/>
      <w:lvlText w:val="o"/>
      <w:lvlJc w:val="left"/>
      <w:pPr>
        <w:ind w:left="1125" w:hanging="360"/>
      </w:pPr>
      <w:rPr>
        <w:rFonts w:ascii="Courier New" w:hAnsi="Courier New" w:cs="Courier New" w:hint="default"/>
      </w:rPr>
    </w:lvl>
    <w:lvl w:ilvl="2" w:tplc="04070005">
      <w:start w:val="1"/>
      <w:numFmt w:val="bullet"/>
      <w:lvlText w:val=""/>
      <w:lvlJc w:val="left"/>
      <w:pPr>
        <w:ind w:left="1845" w:hanging="360"/>
      </w:pPr>
      <w:rPr>
        <w:rFonts w:ascii="Wingdings" w:hAnsi="Wingdings" w:hint="default"/>
      </w:rPr>
    </w:lvl>
    <w:lvl w:ilvl="3" w:tplc="0407000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17" w15:restartNumberingAfterBreak="0">
    <w:nsid w:val="6B39349F"/>
    <w:multiLevelType w:val="multilevel"/>
    <w:tmpl w:val="D1B0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3E54AD"/>
    <w:multiLevelType w:val="hybridMultilevel"/>
    <w:tmpl w:val="5EC89CEC"/>
    <w:lvl w:ilvl="0" w:tplc="04070001">
      <w:start w:val="1"/>
      <w:numFmt w:val="bullet"/>
      <w:lvlText w:val=""/>
      <w:lvlJc w:val="left"/>
      <w:pPr>
        <w:ind w:left="405"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8604B15"/>
    <w:multiLevelType w:val="hybridMultilevel"/>
    <w:tmpl w:val="E144890A"/>
    <w:lvl w:ilvl="0" w:tplc="C8FE5E16">
      <w:start w:val="1"/>
      <w:numFmt w:val="decimal"/>
      <w:lvlText w:val="%1."/>
      <w:lvlJc w:val="left"/>
      <w:pPr>
        <w:ind w:left="405" w:hanging="360"/>
      </w:pPr>
      <w:rPr>
        <w:rFonts w:hint="default"/>
      </w:rPr>
    </w:lvl>
    <w:lvl w:ilvl="1" w:tplc="04070003">
      <w:start w:val="1"/>
      <w:numFmt w:val="bullet"/>
      <w:lvlText w:val="o"/>
      <w:lvlJc w:val="left"/>
      <w:pPr>
        <w:ind w:left="1125" w:hanging="360"/>
      </w:pPr>
      <w:rPr>
        <w:rFonts w:ascii="Courier New" w:hAnsi="Courier New" w:cs="Courier New" w:hint="default"/>
      </w:rPr>
    </w:lvl>
    <w:lvl w:ilvl="2" w:tplc="04070005">
      <w:start w:val="1"/>
      <w:numFmt w:val="bullet"/>
      <w:lvlText w:val=""/>
      <w:lvlJc w:val="left"/>
      <w:pPr>
        <w:ind w:left="1845" w:hanging="360"/>
      </w:pPr>
      <w:rPr>
        <w:rFonts w:ascii="Wingdings" w:hAnsi="Wingdings" w:hint="default"/>
      </w:rPr>
    </w:lvl>
    <w:lvl w:ilvl="3" w:tplc="0407000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20" w15:restartNumberingAfterBreak="0">
    <w:nsid w:val="7B8041DC"/>
    <w:multiLevelType w:val="hybridMultilevel"/>
    <w:tmpl w:val="CD248958"/>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21" w15:restartNumberingAfterBreak="0">
    <w:nsid w:val="7D5D3937"/>
    <w:multiLevelType w:val="hybridMultilevel"/>
    <w:tmpl w:val="558AF0C2"/>
    <w:lvl w:ilvl="0" w:tplc="A3FA30B6">
      <w:start w:val="1"/>
      <w:numFmt w:val="bullet"/>
      <w:lvlText w:val=""/>
      <w:lvlJc w:val="left"/>
      <w:pPr>
        <w:ind w:left="405" w:hanging="360"/>
      </w:pPr>
      <w:rPr>
        <w:rFonts w:ascii="Symbol" w:hAnsi="Symbol"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4"/>
  </w:num>
  <w:num w:numId="4">
    <w:abstractNumId w:val="7"/>
  </w:num>
  <w:num w:numId="5">
    <w:abstractNumId w:val="2"/>
  </w:num>
  <w:num w:numId="6">
    <w:abstractNumId w:val="20"/>
  </w:num>
  <w:num w:numId="7">
    <w:abstractNumId w:val="12"/>
  </w:num>
  <w:num w:numId="8">
    <w:abstractNumId w:val="15"/>
  </w:num>
  <w:num w:numId="9">
    <w:abstractNumId w:val="9"/>
  </w:num>
  <w:num w:numId="10">
    <w:abstractNumId w:val="6"/>
  </w:num>
  <w:num w:numId="11">
    <w:abstractNumId w:val="3"/>
  </w:num>
  <w:num w:numId="12">
    <w:abstractNumId w:val="8"/>
  </w:num>
  <w:num w:numId="13">
    <w:abstractNumId w:val="18"/>
  </w:num>
  <w:num w:numId="14">
    <w:abstractNumId w:val="13"/>
  </w:num>
  <w:num w:numId="15">
    <w:abstractNumId w:val="0"/>
  </w:num>
  <w:num w:numId="16">
    <w:abstractNumId w:val="21"/>
  </w:num>
  <w:num w:numId="17">
    <w:abstractNumId w:val="11"/>
  </w:num>
  <w:num w:numId="18">
    <w:abstractNumId w:val="14"/>
  </w:num>
  <w:num w:numId="19">
    <w:abstractNumId w:val="16"/>
  </w:num>
  <w:num w:numId="20">
    <w:abstractNumId w:val="5"/>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6D5136-20E9-4BA8-9101-40186CAE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Pr>
      <w:color w:val="0000FF" w:themeColor="hyperlink"/>
      <w:u w:val="single"/>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ScalaSansPro" w:hAnsi="ScalaSansPro" w:cs="ScalaSansPro"/>
      <w:color w:val="000000"/>
      <w:sz w:val="24"/>
      <w:szCs w:val="24"/>
    </w:rPr>
  </w:style>
  <w:style w:type="character" w:customStyle="1" w:styleId="A4">
    <w:name w:val="A4"/>
    <w:uiPriority w:val="99"/>
    <w:rPr>
      <w:rFonts w:cs="ScalaSansPro"/>
      <w:b/>
      <w:bCs/>
      <w:color w:val="000000"/>
      <w:sz w:val="38"/>
      <w:szCs w:val="38"/>
    </w:rPr>
  </w:style>
  <w:style w:type="paragraph" w:customStyle="1" w:styleId="Pa5">
    <w:name w:val="Pa5"/>
    <w:basedOn w:val="Default"/>
    <w:next w:val="Default"/>
    <w:uiPriority w:val="99"/>
    <w:pPr>
      <w:spacing w:line="441" w:lineRule="atLeast"/>
    </w:pPr>
    <w:rPr>
      <w:rFonts w:cstheme="minorBidi"/>
      <w:color w:val="auto"/>
    </w:rPr>
  </w:style>
  <w:style w:type="character" w:customStyle="1" w:styleId="A5">
    <w:name w:val="A5"/>
    <w:uiPriority w:val="99"/>
    <w:rPr>
      <w:rFonts w:cs="ScalaSansPro"/>
      <w:color w:val="000000"/>
      <w:sz w:val="18"/>
      <w:szCs w:val="18"/>
    </w:rPr>
  </w:style>
  <w:style w:type="character" w:customStyle="1" w:styleId="A6">
    <w:name w:val="A6"/>
    <w:uiPriority w:val="99"/>
    <w:rPr>
      <w:rFonts w:cs="ScalaSansPro"/>
      <w:b/>
      <w:bCs/>
      <w:color w:val="00000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767867">
      <w:bodyDiv w:val="1"/>
      <w:marLeft w:val="0"/>
      <w:marRight w:val="0"/>
      <w:marTop w:val="0"/>
      <w:marBottom w:val="0"/>
      <w:divBdr>
        <w:top w:val="none" w:sz="0" w:space="0" w:color="auto"/>
        <w:left w:val="none" w:sz="0" w:space="0" w:color="auto"/>
        <w:bottom w:val="none" w:sz="0" w:space="0" w:color="auto"/>
        <w:right w:val="none" w:sz="0" w:space="0" w:color="auto"/>
      </w:divBdr>
    </w:div>
    <w:div w:id="1524398995">
      <w:bodyDiv w:val="1"/>
      <w:marLeft w:val="0"/>
      <w:marRight w:val="0"/>
      <w:marTop w:val="0"/>
      <w:marBottom w:val="0"/>
      <w:divBdr>
        <w:top w:val="none" w:sz="0" w:space="0" w:color="auto"/>
        <w:left w:val="none" w:sz="0" w:space="0" w:color="auto"/>
        <w:bottom w:val="none" w:sz="0" w:space="0" w:color="auto"/>
        <w:right w:val="none" w:sz="0" w:space="0" w:color="auto"/>
      </w:divBdr>
    </w:div>
    <w:div w:id="1596666285">
      <w:bodyDiv w:val="1"/>
      <w:marLeft w:val="0"/>
      <w:marRight w:val="0"/>
      <w:marTop w:val="0"/>
      <w:marBottom w:val="0"/>
      <w:divBdr>
        <w:top w:val="none" w:sz="0" w:space="0" w:color="auto"/>
        <w:left w:val="none" w:sz="0" w:space="0" w:color="auto"/>
        <w:bottom w:val="none" w:sz="0" w:space="0" w:color="auto"/>
        <w:right w:val="none" w:sz="0" w:space="0" w:color="auto"/>
      </w:divBdr>
    </w:div>
    <w:div w:id="211597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Kontaktperson/Management.html" TargetMode="External"/><Relationship Id="rId13" Type="http://schemas.openxmlformats.org/officeDocument/2006/relationships/hyperlink" Target="https://www.rki.de/DE/Content/InfAZ/N/Neuartiges_Coronavirus/Hygiene.html" TargetMode="External"/><Relationship Id="rId18" Type="http://schemas.openxmlformats.org/officeDocument/2006/relationships/hyperlink" Target="https://www.rki.de/DE/Content/InfAZ/N/Neuartiges_Coronavirus/HCW.html;jsessionid=00A10FFD3ADA1A3848AB23F52EE3E50F.internet101" TargetMode="External"/><Relationship Id="rId3" Type="http://schemas.openxmlformats.org/officeDocument/2006/relationships/styles" Target="styles.xml"/><Relationship Id="rId7" Type="http://schemas.openxmlformats.org/officeDocument/2006/relationships/hyperlink" Target="https://www.rki.de/DE/Content/InfAZ/N/Neuartiges_Coronavirus/HCW.html" TargetMode="External"/><Relationship Id="rId12" Type="http://schemas.openxmlformats.org/officeDocument/2006/relationships/hyperlink" Target="https://www.rki.de/DE/Content/InfAZ/N/Neuartiges_Coronavirus/Entlassmanagement.html" TargetMode="External"/><Relationship Id="rId17" Type="http://schemas.openxmlformats.org/officeDocument/2006/relationships/hyperlink" Target="https://www.rki.de/DE/Content/InfAZ/N/Neuartiges_Coronavirus/erweiterte_Hygiene.html" TargetMode="External"/><Relationship Id="rId2" Type="http://schemas.openxmlformats.org/officeDocument/2006/relationships/numbering" Target="numbering.xml"/><Relationship Id="rId16" Type="http://schemas.openxmlformats.org/officeDocument/2006/relationships/hyperlink" Target="https://www.rki.de/DE/Content/InfAZ/N/Neuartiges_Coronavirus/Altenpflegeheim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rki.de/DE/Content/InfAZ/N/Neuartiges_Coronavirus/HCW.html" TargetMode="External"/><Relationship Id="rId11" Type="http://schemas.openxmlformats.org/officeDocument/2006/relationships/hyperlink" Target="https://www.rki.de/DE/Content/InfAZ/N/Neuartiges_Coronavirus/Personal_Pflege.html" TargetMode="External"/><Relationship Id="rId5" Type="http://schemas.openxmlformats.org/officeDocument/2006/relationships/webSettings" Target="webSettings.xml"/><Relationship Id="rId15" Type="http://schemas.openxmlformats.org/officeDocument/2006/relationships/hyperlink" Target="https://www.rki.de/DE/Content/InfAZ/N/Neuartiges_Coronavirus/Hygiene.html" TargetMode="External"/><Relationship Id="rId10" Type="http://schemas.openxmlformats.org/officeDocument/2006/relationships/hyperlink" Target="https://www.rki.de/DE/Content/InfAZ/N/Neuartiges_Coronavirus/Kontaktperson/Management.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ki.de/DE/Content/InfAZ/N/Neuartiges_Coronavirus/Kontaktperson/Management.html" TargetMode="External"/><Relationship Id="rId14" Type="http://schemas.openxmlformats.org/officeDocument/2006/relationships/hyperlink" Target="https://www.rki.de/DE/Content/InfAZ/N/Neuartiges_Coronavirus/Hygiene.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E9665-341C-4416-B701-6B1977152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1140</Words>
  <Characters>7185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Schweickert, Birgitta</dc:creator>
  <cp:lastModifiedBy>Hermes, Julia</cp:lastModifiedBy>
  <cp:revision>3</cp:revision>
  <cp:lastPrinted>2020-11-25T17:23:00Z</cp:lastPrinted>
  <dcterms:created xsi:type="dcterms:W3CDTF">2020-11-26T14:49:00Z</dcterms:created>
  <dcterms:modified xsi:type="dcterms:W3CDTF">2020-11-26T15:26:00Z</dcterms:modified>
</cp:coreProperties>
</file>