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30.11.2020,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Aktualisierungsvorschlag zur Diskussion</w:t>
            </w:r>
          </w:p>
        </w:tc>
        <w:tc>
          <w:tcPr>
            <w:tcW w:w="1809" w:type="dxa"/>
          </w:tcPr>
          <w:p/>
          <w:p>
            <w:r>
              <w:t>Buda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Probenentnahme für Antigen-Schnelltests durch geschultes, nicht-medizinisches Personal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Modellierung</w:t>
            </w:r>
            <w:proofErr w:type="spellEnd"/>
            <w:r>
              <w:rPr>
                <w:lang w:val="en-US"/>
              </w:rPr>
              <w:t xml:space="preserve"> „Towards a long-term control of COVID-19 at low case numbers”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r>
              <w:t>Mielke</w:t>
            </w:r>
          </w:p>
          <w:p/>
          <w:p>
            <w:r>
              <w:t xml:space="preserve">Matthias </w:t>
            </w:r>
            <w:proofErr w:type="spellStart"/>
            <w:r>
              <w:t>adH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„Kontrollstrategie im Schulbereich“ aus MPK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02.12.2020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1466F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11</cp:revision>
  <cp:lastPrinted>2020-03-13T12:00:00Z</cp:lastPrinted>
  <dcterms:created xsi:type="dcterms:W3CDTF">2020-11-27T07:32:00Z</dcterms:created>
  <dcterms:modified xsi:type="dcterms:W3CDTF">2022-12-22T12:52:00Z</dcterms:modified>
</cp:coreProperties>
</file>