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rPr>
          <w:rFonts w:ascii="Scala Sans OT" w:hAnsi="Scala Sans OT"/>
        </w:rPr>
      </w:pPr>
      <w:r>
        <w:rPr>
          <w:rFonts w:ascii="Scala Sans OT" w:hAnsi="Scala Sans OT"/>
          <w:noProof/>
        </w:rPr>
        <w:drawing>
          <wp:anchor distT="0" distB="0" distL="114300" distR="114300" simplePos="0" relativeHeight="251658239" behindDoc="0" locked="1" layoutInCell="1" allowOverlap="1">
            <wp:simplePos x="0" y="0"/>
            <wp:positionH relativeFrom="column">
              <wp:posOffset>3052445</wp:posOffset>
            </wp:positionH>
            <wp:positionV relativeFrom="page">
              <wp:posOffset>900430</wp:posOffset>
            </wp:positionV>
            <wp:extent cx="2709545" cy="785495"/>
            <wp:effectExtent l="0" t="0" r="8255" b="1905"/>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KI-Logo_RGB_P300C.tif"/>
                    <pic:cNvPicPr/>
                  </pic:nvPicPr>
                  <pic:blipFill>
                    <a:blip r:embed="rId8">
                      <a:alphaModFix/>
                      <a:extLst>
                        <a:ext uri="{28A0092B-C50C-407E-A947-70E740481C1C}">
                          <a14:useLocalDpi xmlns:a14="http://schemas.microsoft.com/office/drawing/2010/main" val="0"/>
                        </a:ext>
                      </a:extLst>
                    </a:blip>
                    <a:stretch>
                      <a:fillRect/>
                    </a:stretch>
                  </pic:blipFill>
                  <pic:spPr>
                    <a:xfrm>
                      <a:off x="0" y="0"/>
                      <a:ext cx="2709545" cy="7854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Scala Sans OT" w:hAnsi="Scala Sans OT"/>
          <w:noProof/>
        </w:rPr>
        <mc:AlternateContent>
          <mc:Choice Requires="wps">
            <w:drawing>
              <wp:anchor distT="0" distB="0" distL="114300" distR="114300" simplePos="0" relativeHeight="251659264" behindDoc="0" locked="1" layoutInCell="1" allowOverlap="1">
                <wp:simplePos x="0" y="0"/>
                <wp:positionH relativeFrom="page">
                  <wp:posOffset>540385</wp:posOffset>
                </wp:positionH>
                <wp:positionV relativeFrom="page">
                  <wp:posOffset>6069965</wp:posOffset>
                </wp:positionV>
                <wp:extent cx="6119495" cy="2465705"/>
                <wp:effectExtent l="0" t="0" r="1905" b="0"/>
                <wp:wrapNone/>
                <wp:docPr id="2" name="Textfeld 2"/>
                <wp:cNvGraphicFramePr/>
                <a:graphic xmlns:a="http://schemas.openxmlformats.org/drawingml/2006/main">
                  <a:graphicData uri="http://schemas.microsoft.com/office/word/2010/wordprocessingShape">
                    <wps:wsp>
                      <wps:cNvSpPr txBox="1"/>
                      <wps:spPr>
                        <a:xfrm>
                          <a:off x="0" y="0"/>
                          <a:ext cx="6119495" cy="2465705"/>
                        </a:xfrm>
                        <a:prstGeom prst="rect">
                          <a:avLst/>
                        </a:prstGeom>
                        <a:solidFill>
                          <a:srgbClr val="367BB8"/>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pPr>
                              <w:rPr>
                                <w:rFonts w:ascii="Scala Sans OT" w:hAnsi="Scala Sans OT"/>
                                <w:color w:val="FFFFFF" w:themeColor="background1"/>
                                <w:sz w:val="40"/>
                                <w:szCs w:val="48"/>
                              </w:rPr>
                            </w:pPr>
                            <w:bookmarkStart w:id="0" w:name="_GoBack"/>
                            <w:r>
                              <w:rPr>
                                <w:rFonts w:ascii="Scala Sans OT" w:hAnsi="Scala Sans OT"/>
                                <w:color w:val="FFFFFF" w:themeColor="background1"/>
                                <w:sz w:val="40"/>
                                <w:szCs w:val="48"/>
                              </w:rPr>
                              <w:t>Anlage zum Initiativbericht</w:t>
                            </w:r>
                          </w:p>
                          <w:p>
                            <w:pPr>
                              <w:rPr>
                                <w:b/>
                              </w:rPr>
                            </w:pPr>
                            <w:r>
                              <w:rPr>
                                <w:rFonts w:ascii="Scala Sans OT" w:hAnsi="Scala Sans OT"/>
                                <w:color w:val="FFFFFF" w:themeColor="background1"/>
                                <w:sz w:val="40"/>
                                <w:szCs w:val="48"/>
                              </w:rPr>
                              <w:t xml:space="preserve">„Bevölkerungsbezogene </w:t>
                            </w:r>
                            <w:bookmarkEnd w:id="0"/>
                            <w:r>
                              <w:rPr>
                                <w:rFonts w:ascii="Scala Sans OT" w:hAnsi="Scala Sans OT"/>
                                <w:color w:val="FFFFFF" w:themeColor="background1"/>
                                <w:sz w:val="40"/>
                                <w:szCs w:val="48"/>
                              </w:rPr>
                              <w:t>antiepidemische Maßnahmen nach dem 10. Januar 2021“</w:t>
                            </w:r>
                          </w:p>
                          <w:p>
                            <w:pPr>
                              <w:pStyle w:val="NurText"/>
                              <w:rPr>
                                <w:color w:val="FF0000"/>
                                <w:sz w:val="18"/>
                                <w:lang w:val="de-DE"/>
                              </w:rPr>
                            </w:pPr>
                          </w:p>
                          <w:p>
                            <w:pPr>
                              <w:pStyle w:val="RKITitel"/>
                              <w:rPr>
                                <w:rFonts w:ascii="Scala Sans OT" w:hAnsi="Scala Sans OT"/>
                                <w:sz w:val="40"/>
                              </w:rPr>
                            </w:pPr>
                          </w:p>
                        </w:txbxContent>
                      </wps:txbx>
                      <wps:bodyPr rot="0" spcFirstLastPara="0" vertOverflow="overflow" horzOverflow="overflow" vert="horz" wrap="square" lIns="648000" tIns="234000" rIns="684000" bIns="45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42.55pt;margin-top:477.95pt;width:481.85pt;height:194.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" fillcolor="#367bb8" stroked="f">
                <v:textbox inset="18mm,6.5mm,19mm,12.5mm">
                  <w:txbxContent>
                    <w:p>
                      <w:pPr>
                        <w:rPr>
                          <w:rFonts w:ascii="Scala Sans OT" w:hAnsi="Scala Sans OT"/>
                          <w:color w:val="FFFFFF" w:themeColor="background1"/>
                          <w:sz w:val="40"/>
                          <w:szCs w:val="48"/>
                        </w:rPr>
                      </w:pPr>
                      <w:bookmarkStart w:id="1" w:name="_GoBack"/>
                      <w:r>
                        <w:rPr>
                          <w:rFonts w:ascii="Scala Sans OT" w:hAnsi="Scala Sans OT"/>
                          <w:color w:val="FFFFFF" w:themeColor="background1"/>
                          <w:sz w:val="40"/>
                          <w:szCs w:val="48"/>
                        </w:rPr>
                        <w:t>Anlage zum Initiativbericht</w:t>
                      </w:r>
                    </w:p>
                    <w:p>
                      <w:pPr>
                        <w:rPr>
                          <w:b/>
                        </w:rPr>
                      </w:pPr>
                      <w:r>
                        <w:rPr>
                          <w:rFonts w:ascii="Scala Sans OT" w:hAnsi="Scala Sans OT"/>
                          <w:color w:val="FFFFFF" w:themeColor="background1"/>
                          <w:sz w:val="40"/>
                          <w:szCs w:val="48"/>
                        </w:rPr>
                        <w:t xml:space="preserve">„Bevölkerungsbezogene </w:t>
                      </w:r>
                      <w:bookmarkEnd w:id="1"/>
                      <w:r>
                        <w:rPr>
                          <w:rFonts w:ascii="Scala Sans OT" w:hAnsi="Scala Sans OT"/>
                          <w:color w:val="FFFFFF" w:themeColor="background1"/>
                          <w:sz w:val="40"/>
                          <w:szCs w:val="48"/>
                        </w:rPr>
                        <w:t>antiepidemische Maßnahmen nach dem 10. Januar 2021“</w:t>
                      </w:r>
                    </w:p>
                    <w:p>
                      <w:pPr>
                        <w:pStyle w:val="NurText"/>
                        <w:rPr>
                          <w:color w:val="FF0000"/>
                          <w:sz w:val="18"/>
                          <w:lang w:val="de-DE"/>
                        </w:rPr>
                      </w:pPr>
                    </w:p>
                    <w:p>
                      <w:pPr>
                        <w:pStyle w:val="RKITitel"/>
                        <w:rPr>
                          <w:rFonts w:ascii="Scala Sans OT" w:hAnsi="Scala Sans OT"/>
                          <w:sz w:val="40"/>
                        </w:rPr>
                      </w:pPr>
                    </w:p>
                  </w:txbxContent>
                </v:textbox>
                <w10:wrap anchorx="page" anchory="page"/>
                <w10:anchorlock/>
              </v:shape>
            </w:pict>
          </mc:Fallback>
        </mc:AlternateContent>
      </w:r>
      <w:r>
        <w:rPr>
          <w:rFonts w:ascii="Scala Sans OT" w:hAnsi="Scala Sans OT"/>
          <w:noProof/>
        </w:rPr>
        <mc:AlternateContent>
          <mc:Choice Requires="wps">
            <w:drawing>
              <wp:anchor distT="0" distB="0" distL="114300" distR="114300" simplePos="0" relativeHeight="251660288" behindDoc="1" locked="1" layoutInCell="1" allowOverlap="1">
                <wp:simplePos x="0" y="0"/>
                <wp:positionH relativeFrom="column">
                  <wp:posOffset>5756910</wp:posOffset>
                </wp:positionH>
                <wp:positionV relativeFrom="page">
                  <wp:posOffset>6070600</wp:posOffset>
                </wp:positionV>
                <wp:extent cx="899795" cy="2465705"/>
                <wp:effectExtent l="0" t="0" r="0" b="0"/>
                <wp:wrapNone/>
                <wp:docPr id="3" name="Rechteck 3"/>
                <wp:cNvGraphicFramePr/>
                <a:graphic xmlns:a="http://schemas.openxmlformats.org/drawingml/2006/main">
                  <a:graphicData uri="http://schemas.microsoft.com/office/word/2010/wordprocessingShape">
                    <wps:wsp>
                      <wps:cNvSpPr/>
                      <wps:spPr>
                        <a:xfrm>
                          <a:off x="0" y="0"/>
                          <a:ext cx="899795" cy="2465705"/>
                        </a:xfrm>
                        <a:prstGeom prst="rect">
                          <a:avLst/>
                        </a:prstGeom>
                        <a:solidFill>
                          <a:srgbClr val="689CCA"/>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 o:spid="_x0000_s1026" style="position:absolute;margin-left:453.3pt;margin-top:478pt;width:70.85pt;height:19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" fillcolor="#689cca" stroked="f">
                <w10:wrap anchory="page"/>
                <w10:anchorlock/>
              </v:rect>
            </w:pict>
          </mc:Fallback>
        </mc:AlternateContent>
      </w:r>
      <w:r>
        <w:rPr>
          <w:rFonts w:ascii="Scala Sans OT" w:hAnsi="Scala Sans OT"/>
          <w:noProof/>
        </w:rPr>
        <mc:AlternateContent>
          <mc:Choice Requires="wpg">
            <w:drawing>
              <wp:anchor distT="0" distB="0" distL="114300" distR="114300" simplePos="0" relativeHeight="251661312" behindDoc="0" locked="1" layoutInCell="1" allowOverlap="1">
                <wp:simplePos x="0" y="0"/>
                <wp:positionH relativeFrom="column">
                  <wp:posOffset>54610</wp:posOffset>
                </wp:positionH>
                <wp:positionV relativeFrom="page">
                  <wp:posOffset>5836285</wp:posOffset>
                </wp:positionV>
                <wp:extent cx="5256530" cy="2933700"/>
                <wp:effectExtent l="0" t="0" r="26670" b="12700"/>
                <wp:wrapNone/>
                <wp:docPr id="8" name="Gruppierung 8"/>
                <wp:cNvGraphicFramePr/>
                <a:graphic xmlns:a="http://schemas.openxmlformats.org/drawingml/2006/main">
                  <a:graphicData uri="http://schemas.microsoft.com/office/word/2010/wordprocessingGroup">
                    <wpg:wgp>
                      <wpg:cNvGrpSpPr/>
                      <wpg:grpSpPr>
                        <a:xfrm>
                          <a:off x="0" y="0"/>
                          <a:ext cx="5256530" cy="2933700"/>
                          <a:chOff x="0" y="0"/>
                          <a:chExt cx="5256530" cy="2933700"/>
                        </a:xfrm>
                      </wpg:grpSpPr>
                      <wps:wsp>
                        <wps:cNvPr id="4" name="Gerade Verbindung 4"/>
                        <wps:cNvCnPr/>
                        <wps:spPr>
                          <a:xfrm>
                            <a:off x="0" y="0"/>
                            <a:ext cx="0" cy="2933700"/>
                          </a:xfrm>
                          <a:prstGeom prst="line">
                            <a:avLst/>
                          </a:prstGeom>
                          <a:ln>
                            <a:solidFill>
                              <a:schemeClr val="bg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wps:wsp>
                        <wps:cNvPr id="5" name="Gerade Verbindung 5"/>
                        <wps:cNvCnPr/>
                        <wps:spPr>
                          <a:xfrm>
                            <a:off x="5256530" y="0"/>
                            <a:ext cx="0" cy="2933700"/>
                          </a:xfrm>
                          <a:prstGeom prst="line">
                            <a:avLst/>
                          </a:prstGeom>
                          <a:ln>
                            <a:solidFill>
                              <a:schemeClr val="bg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uppierung 8" o:spid="_x0000_s1026" style="position:absolute;margin-left:4.3pt;margin-top:459.55pt;width:413.9pt;height:231pt;z-index:251661312;mso-position-vertical-relative:page" coordsize="52565,29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">
                <v:line id="Gerade Verbindung 4" o:spid="_x0000_s1027" style="position:absolute;visibility:visible;mso-wrap-style:square" from="0,0" to="0,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" strokecolor="white [3212]" strokeweight="2pt"/>
                <v:line id="Gerade Verbindung 5" o:spid="_x0000_s1028" style="position:absolute;visibility:visible;mso-wrap-style:square" from="52565,0" to="52565,29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" strokecolor="white [3212]" strokeweight="2pt"/>
                <w10:wrap anchory="page"/>
                <w10:anchorlock/>
              </v:group>
            </w:pict>
          </mc:Fallback>
        </mc:AlternateContent>
      </w:r>
      <w:r>
        <w:rPr>
          <w:rFonts w:ascii="Scala Sans OT" w:hAnsi="Scala Sans OT"/>
          <w:noProof/>
        </w:rPr>
        <mc:AlternateContent>
          <mc:Choice Requires="wps">
            <w:drawing>
              <wp:anchor distT="0" distB="0" distL="114300" distR="114300" simplePos="0" relativeHeight="251662336" behindDoc="1" locked="1" layoutInCell="1" allowOverlap="1">
                <wp:simplePos x="0" y="0"/>
                <wp:positionH relativeFrom="page">
                  <wp:posOffset>0</wp:posOffset>
                </wp:positionH>
                <wp:positionV relativeFrom="page">
                  <wp:posOffset>2250440</wp:posOffset>
                </wp:positionV>
                <wp:extent cx="6659880" cy="7019925"/>
                <wp:effectExtent l="0" t="0" r="0" b="0"/>
                <wp:wrapNone/>
                <wp:docPr id="6" name="Rechteck 6"/>
                <wp:cNvGraphicFramePr/>
                <a:graphic xmlns:a="http://schemas.openxmlformats.org/drawingml/2006/main">
                  <a:graphicData uri="http://schemas.microsoft.com/office/word/2010/wordprocessingShape">
                    <wps:wsp>
                      <wps:cNvSpPr/>
                      <wps:spPr>
                        <a:xfrm>
                          <a:off x="0" y="0"/>
                          <a:ext cx="6659880" cy="7019925"/>
                        </a:xfrm>
                        <a:prstGeom prst="rect">
                          <a:avLst/>
                        </a:prstGeom>
                        <a:solidFill>
                          <a:srgbClr val="045AA6"/>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 o:spid="_x0000_s1026" style="position:absolute;margin-left:0;margin-top:177.2pt;width:524.4pt;height:552.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" fillcolor="#045aa6" stroked="f">
                <w10:wrap anchorx="page" anchory="page"/>
                <w10:anchorlock/>
              </v:rect>
            </w:pict>
          </mc:Fallback>
        </mc:AlternateContent>
      </w:r>
    </w:p>
    <w:p>
      <w:pPr>
        <w:rPr>
          <w:rFonts w:ascii="Scala Sans OT" w:hAnsi="Scala Sans OT"/>
        </w:rPr>
      </w:pPr>
      <w:r>
        <w:rPr>
          <w:rFonts w:ascii="Scala Sans OT" w:hAnsi="Scala Sans OT"/>
        </w:rPr>
        <w:br w:type="page"/>
      </w:r>
    </w:p>
    <w:sdt>
      <w:sdtPr>
        <w:rPr>
          <w:rFonts w:ascii="Scala Sans OT" w:hAnsi="Scala Sans OT"/>
        </w:rPr>
        <w:id w:val="136007148"/>
        <w:docPartObj>
          <w:docPartGallery w:val="Table of Contents"/>
          <w:docPartUnique/>
        </w:docPartObj>
      </w:sdtPr>
      <w:sdtEndPr>
        <w:rPr>
          <w:rFonts w:eastAsiaTheme="minorEastAsia" w:cstheme="minorBidi"/>
          <w:b/>
          <w:bCs/>
          <w:color w:val="auto"/>
          <w:sz w:val="20"/>
          <w:szCs w:val="20"/>
        </w:rPr>
      </w:sdtEndPr>
      <w:sdtContent>
        <w:p>
          <w:pPr>
            <w:pStyle w:val="Inhaltsverzeichnisberschrift"/>
            <w:rPr>
              <w:rFonts w:ascii="Scala Sans OT" w:hAnsi="Scala Sans OT"/>
            </w:rPr>
          </w:pPr>
          <w:r>
            <w:rPr>
              <w:rFonts w:ascii="Scala Sans OT" w:hAnsi="Scala Sans OT"/>
            </w:rPr>
            <w:t>Inhalt</w:t>
          </w:r>
        </w:p>
        <w:p>
          <w:pPr>
            <w:pStyle w:val="Verzeichnis1"/>
            <w:tabs>
              <w:tab w:val="right" w:leader="dot" w:pos="9204"/>
            </w:tabs>
            <w:rPr>
              <w:rFonts w:asciiTheme="minorHAnsi" w:hAnsiTheme="minorHAnsi"/>
              <w:noProof/>
              <w:sz w:val="22"/>
              <w:szCs w:val="22"/>
            </w:rPr>
          </w:pPr>
          <w:r>
            <w:rPr>
              <w:rFonts w:ascii="Scala Sans OT" w:hAnsi="Scala Sans OT"/>
            </w:rPr>
            <w:fldChar w:fldCharType="begin"/>
          </w:r>
          <w:r>
            <w:rPr>
              <w:rFonts w:ascii="Scala Sans OT" w:hAnsi="Scala Sans OT"/>
            </w:rPr>
            <w:instrText xml:space="preserve"> TOC \o "1-3" \h \z \u </w:instrText>
          </w:r>
          <w:r>
            <w:rPr>
              <w:rFonts w:ascii="Scala Sans OT" w:hAnsi="Scala Sans OT"/>
            </w:rPr>
            <w:fldChar w:fldCharType="separate"/>
          </w:r>
          <w:hyperlink w:anchor="_Toc60668062" w:history="1">
            <w:r>
              <w:rPr>
                <w:rStyle w:val="Hyperlink"/>
                <w:rFonts w:ascii="Scala Sans OT" w:hAnsi="Scala Sans OT"/>
                <w:noProof/>
              </w:rPr>
              <w:t>Zusammenfassung:</w:t>
            </w:r>
            <w:r>
              <w:rPr>
                <w:noProof/>
                <w:webHidden/>
              </w:rPr>
              <w:tab/>
            </w:r>
            <w:r>
              <w:rPr>
                <w:noProof/>
                <w:webHidden/>
              </w:rPr>
              <w:fldChar w:fldCharType="begin"/>
            </w:r>
            <w:r>
              <w:rPr>
                <w:noProof/>
                <w:webHidden/>
              </w:rPr>
              <w:instrText xml:space="preserve"> PAGEREF _Toc60668062 \h </w:instrText>
            </w:r>
            <w:r>
              <w:rPr>
                <w:noProof/>
                <w:webHidden/>
              </w:rPr>
            </w:r>
            <w:r>
              <w:rPr>
                <w:noProof/>
                <w:webHidden/>
              </w:rPr>
              <w:fldChar w:fldCharType="separate"/>
            </w:r>
            <w:r>
              <w:rPr>
                <w:noProof/>
                <w:webHidden/>
              </w:rPr>
              <w:t>3</w:t>
            </w:r>
            <w:r>
              <w:rPr>
                <w:noProof/>
                <w:webHidden/>
              </w:rPr>
              <w:fldChar w:fldCharType="end"/>
            </w:r>
          </w:hyperlink>
        </w:p>
        <w:p>
          <w:pPr>
            <w:pStyle w:val="Verzeichnis1"/>
            <w:tabs>
              <w:tab w:val="right" w:leader="dot" w:pos="9204"/>
            </w:tabs>
            <w:rPr>
              <w:rFonts w:asciiTheme="minorHAnsi" w:hAnsiTheme="minorHAnsi"/>
              <w:noProof/>
              <w:sz w:val="22"/>
              <w:szCs w:val="22"/>
            </w:rPr>
          </w:pPr>
          <w:hyperlink w:anchor="_Toc60668063" w:history="1">
            <w:r>
              <w:rPr>
                <w:rStyle w:val="Hyperlink"/>
                <w:rFonts w:ascii="Scala Sans OT" w:hAnsi="Scala Sans OT"/>
                <w:noProof/>
              </w:rPr>
              <w:t>Auswertungen im Einzelnen:</w:t>
            </w:r>
            <w:r>
              <w:rPr>
                <w:noProof/>
                <w:webHidden/>
              </w:rPr>
              <w:tab/>
            </w:r>
            <w:r>
              <w:rPr>
                <w:noProof/>
                <w:webHidden/>
              </w:rPr>
              <w:fldChar w:fldCharType="begin"/>
            </w:r>
            <w:r>
              <w:rPr>
                <w:noProof/>
                <w:webHidden/>
              </w:rPr>
              <w:instrText xml:space="preserve"> PAGEREF _Toc60668063 \h </w:instrText>
            </w:r>
            <w:r>
              <w:rPr>
                <w:noProof/>
                <w:webHidden/>
              </w:rPr>
            </w:r>
            <w:r>
              <w:rPr>
                <w:noProof/>
                <w:webHidden/>
              </w:rPr>
              <w:fldChar w:fldCharType="separate"/>
            </w:r>
            <w:r>
              <w:rPr>
                <w:noProof/>
                <w:webHidden/>
              </w:rPr>
              <w:t>4</w:t>
            </w:r>
            <w:r>
              <w:rPr>
                <w:noProof/>
                <w:webHidden/>
              </w:rPr>
              <w:fldChar w:fldCharType="end"/>
            </w:r>
          </w:hyperlink>
        </w:p>
        <w:p>
          <w:pPr>
            <w:pStyle w:val="Verzeichnis2"/>
            <w:tabs>
              <w:tab w:val="right" w:leader="dot" w:pos="9204"/>
            </w:tabs>
            <w:rPr>
              <w:rFonts w:asciiTheme="minorHAnsi" w:hAnsiTheme="minorHAnsi"/>
              <w:noProof/>
              <w:sz w:val="22"/>
              <w:szCs w:val="22"/>
            </w:rPr>
          </w:pPr>
          <w:hyperlink w:anchor="_Toc60668064" w:history="1">
            <w:r>
              <w:rPr>
                <w:rStyle w:val="Hyperlink"/>
                <w:rFonts w:ascii="Scala Sans OT" w:hAnsi="Scala Sans OT"/>
                <w:noProof/>
              </w:rPr>
              <w:t>Vorbemerkung</w:t>
            </w:r>
            <w:r>
              <w:rPr>
                <w:noProof/>
                <w:webHidden/>
              </w:rPr>
              <w:tab/>
            </w:r>
            <w:r>
              <w:rPr>
                <w:noProof/>
                <w:webHidden/>
              </w:rPr>
              <w:fldChar w:fldCharType="begin"/>
            </w:r>
            <w:r>
              <w:rPr>
                <w:noProof/>
                <w:webHidden/>
              </w:rPr>
              <w:instrText xml:space="preserve"> PAGEREF _Toc60668064 \h </w:instrText>
            </w:r>
            <w:r>
              <w:rPr>
                <w:noProof/>
                <w:webHidden/>
              </w:rPr>
            </w:r>
            <w:r>
              <w:rPr>
                <w:noProof/>
                <w:webHidden/>
              </w:rPr>
              <w:fldChar w:fldCharType="separate"/>
            </w:r>
            <w:r>
              <w:rPr>
                <w:noProof/>
                <w:webHidden/>
              </w:rPr>
              <w:t>4</w:t>
            </w:r>
            <w:r>
              <w:rPr>
                <w:noProof/>
                <w:webHidden/>
              </w:rPr>
              <w:fldChar w:fldCharType="end"/>
            </w:r>
          </w:hyperlink>
        </w:p>
        <w:p>
          <w:pPr>
            <w:pStyle w:val="Verzeichnis2"/>
            <w:tabs>
              <w:tab w:val="left" w:pos="660"/>
              <w:tab w:val="right" w:leader="dot" w:pos="9204"/>
            </w:tabs>
            <w:rPr>
              <w:rFonts w:asciiTheme="minorHAnsi" w:hAnsiTheme="minorHAnsi"/>
              <w:noProof/>
              <w:sz w:val="22"/>
              <w:szCs w:val="22"/>
            </w:rPr>
          </w:pPr>
          <w:hyperlink w:anchor="_Toc60668065" w:history="1">
            <w:r>
              <w:rPr>
                <w:rStyle w:val="Hyperlink"/>
                <w:rFonts w:ascii="Scala Sans OT" w:hAnsi="Scala Sans OT"/>
                <w:noProof/>
              </w:rPr>
              <w:t>1)</w:t>
            </w:r>
            <w:r>
              <w:rPr>
                <w:rFonts w:asciiTheme="minorHAnsi" w:hAnsiTheme="minorHAnsi"/>
                <w:noProof/>
                <w:sz w:val="22"/>
                <w:szCs w:val="22"/>
              </w:rPr>
              <w:tab/>
            </w:r>
            <w:r>
              <w:rPr>
                <w:rStyle w:val="Hyperlink"/>
                <w:rFonts w:ascii="Scala Sans OT" w:hAnsi="Scala Sans OT"/>
                <w:noProof/>
              </w:rPr>
              <w:t>Meldedaten (unter Berücksichtigung des Diagnostik- und Meldeverzugs)</w:t>
            </w:r>
            <w:r>
              <w:rPr>
                <w:noProof/>
                <w:webHidden/>
              </w:rPr>
              <w:tab/>
            </w:r>
            <w:r>
              <w:rPr>
                <w:noProof/>
                <w:webHidden/>
              </w:rPr>
              <w:fldChar w:fldCharType="begin"/>
            </w:r>
            <w:r>
              <w:rPr>
                <w:noProof/>
                <w:webHidden/>
              </w:rPr>
              <w:instrText xml:space="preserve"> PAGEREF _Toc60668065 \h </w:instrText>
            </w:r>
            <w:r>
              <w:rPr>
                <w:noProof/>
                <w:webHidden/>
              </w:rPr>
            </w:r>
            <w:r>
              <w:rPr>
                <w:noProof/>
                <w:webHidden/>
              </w:rPr>
              <w:fldChar w:fldCharType="separate"/>
            </w:r>
            <w:r>
              <w:rPr>
                <w:noProof/>
                <w:webHidden/>
              </w:rPr>
              <w:t>4</w:t>
            </w:r>
            <w:r>
              <w:rPr>
                <w:noProof/>
                <w:webHidden/>
              </w:rPr>
              <w:fldChar w:fldCharType="end"/>
            </w:r>
          </w:hyperlink>
        </w:p>
        <w:p>
          <w:pPr>
            <w:pStyle w:val="Verzeichnis2"/>
            <w:tabs>
              <w:tab w:val="left" w:pos="660"/>
              <w:tab w:val="right" w:leader="dot" w:pos="9204"/>
            </w:tabs>
            <w:rPr>
              <w:rFonts w:asciiTheme="minorHAnsi" w:hAnsiTheme="minorHAnsi"/>
              <w:noProof/>
              <w:sz w:val="22"/>
              <w:szCs w:val="22"/>
            </w:rPr>
          </w:pPr>
          <w:hyperlink w:anchor="_Toc60668066" w:history="1">
            <w:r>
              <w:rPr>
                <w:rStyle w:val="Hyperlink"/>
                <w:rFonts w:ascii="Scala Sans OT" w:hAnsi="Scala Sans OT"/>
                <w:noProof/>
              </w:rPr>
              <w:t>2)</w:t>
            </w:r>
            <w:r>
              <w:rPr>
                <w:rFonts w:asciiTheme="minorHAnsi" w:hAnsiTheme="minorHAnsi"/>
                <w:noProof/>
                <w:sz w:val="22"/>
                <w:szCs w:val="22"/>
              </w:rPr>
              <w:tab/>
            </w:r>
            <w:r>
              <w:rPr>
                <w:rStyle w:val="Hyperlink"/>
                <w:rFonts w:ascii="Scala Sans OT" w:hAnsi="Scala Sans OT"/>
                <w:noProof/>
              </w:rPr>
              <w:t>Zahl der durchgeführten labordiagnostischen Untersuchungen und der Positivenanteil</w:t>
            </w:r>
            <w:r>
              <w:rPr>
                <w:noProof/>
                <w:webHidden/>
              </w:rPr>
              <w:tab/>
            </w:r>
            <w:r>
              <w:rPr>
                <w:noProof/>
                <w:webHidden/>
              </w:rPr>
              <w:fldChar w:fldCharType="begin"/>
            </w:r>
            <w:r>
              <w:rPr>
                <w:noProof/>
                <w:webHidden/>
              </w:rPr>
              <w:instrText xml:space="preserve"> PAGEREF _Toc60668066 \h </w:instrText>
            </w:r>
            <w:r>
              <w:rPr>
                <w:noProof/>
                <w:webHidden/>
              </w:rPr>
            </w:r>
            <w:r>
              <w:rPr>
                <w:noProof/>
                <w:webHidden/>
              </w:rPr>
              <w:fldChar w:fldCharType="separate"/>
            </w:r>
            <w:r>
              <w:rPr>
                <w:noProof/>
                <w:webHidden/>
              </w:rPr>
              <w:t>6</w:t>
            </w:r>
            <w:r>
              <w:rPr>
                <w:noProof/>
                <w:webHidden/>
              </w:rPr>
              <w:fldChar w:fldCharType="end"/>
            </w:r>
          </w:hyperlink>
        </w:p>
        <w:p>
          <w:pPr>
            <w:pStyle w:val="Verzeichnis2"/>
            <w:tabs>
              <w:tab w:val="left" w:pos="660"/>
              <w:tab w:val="right" w:leader="dot" w:pos="9204"/>
            </w:tabs>
            <w:rPr>
              <w:rFonts w:asciiTheme="minorHAnsi" w:hAnsiTheme="minorHAnsi"/>
              <w:noProof/>
              <w:sz w:val="22"/>
              <w:szCs w:val="22"/>
            </w:rPr>
          </w:pPr>
          <w:hyperlink w:anchor="_Toc60668067" w:history="1">
            <w:r>
              <w:rPr>
                <w:rStyle w:val="Hyperlink"/>
                <w:rFonts w:ascii="Scala Sans OT" w:hAnsi="Scala Sans OT"/>
                <w:noProof/>
              </w:rPr>
              <w:t>3)</w:t>
            </w:r>
            <w:r>
              <w:rPr>
                <w:rFonts w:asciiTheme="minorHAnsi" w:hAnsiTheme="minorHAnsi"/>
                <w:noProof/>
                <w:sz w:val="22"/>
                <w:szCs w:val="22"/>
              </w:rPr>
              <w:tab/>
            </w:r>
            <w:r>
              <w:rPr>
                <w:rStyle w:val="Hyperlink"/>
                <w:rFonts w:ascii="Scala Sans OT" w:hAnsi="Scala Sans OT"/>
                <w:noProof/>
              </w:rPr>
              <w:t>Syndromische Krankheitsüberwachung</w:t>
            </w:r>
            <w:r>
              <w:rPr>
                <w:noProof/>
                <w:webHidden/>
              </w:rPr>
              <w:tab/>
            </w:r>
            <w:r>
              <w:rPr>
                <w:noProof/>
                <w:webHidden/>
              </w:rPr>
              <w:fldChar w:fldCharType="begin"/>
            </w:r>
            <w:r>
              <w:rPr>
                <w:noProof/>
                <w:webHidden/>
              </w:rPr>
              <w:instrText xml:space="preserve"> PAGEREF _Toc60668067 \h </w:instrText>
            </w:r>
            <w:r>
              <w:rPr>
                <w:noProof/>
                <w:webHidden/>
              </w:rPr>
            </w:r>
            <w:r>
              <w:rPr>
                <w:noProof/>
                <w:webHidden/>
              </w:rPr>
              <w:fldChar w:fldCharType="separate"/>
            </w:r>
            <w:r>
              <w:rPr>
                <w:noProof/>
                <w:webHidden/>
              </w:rPr>
              <w:t>8</w:t>
            </w:r>
            <w:r>
              <w:rPr>
                <w:noProof/>
                <w:webHidden/>
              </w:rPr>
              <w:fldChar w:fldCharType="end"/>
            </w:r>
          </w:hyperlink>
        </w:p>
        <w:p>
          <w:pPr>
            <w:pStyle w:val="Verzeichnis2"/>
            <w:tabs>
              <w:tab w:val="left" w:pos="660"/>
              <w:tab w:val="right" w:leader="dot" w:pos="9204"/>
            </w:tabs>
            <w:rPr>
              <w:rFonts w:asciiTheme="minorHAnsi" w:hAnsiTheme="minorHAnsi"/>
              <w:noProof/>
              <w:sz w:val="22"/>
              <w:szCs w:val="22"/>
            </w:rPr>
          </w:pPr>
          <w:hyperlink w:anchor="_Toc60668068" w:history="1">
            <w:r>
              <w:rPr>
                <w:rStyle w:val="Hyperlink"/>
                <w:noProof/>
              </w:rPr>
              <w:t>4)</w:t>
            </w:r>
            <w:r>
              <w:rPr>
                <w:rFonts w:asciiTheme="minorHAnsi" w:hAnsiTheme="minorHAnsi"/>
                <w:noProof/>
                <w:sz w:val="22"/>
                <w:szCs w:val="22"/>
              </w:rPr>
              <w:tab/>
            </w:r>
            <w:r>
              <w:rPr>
                <w:rStyle w:val="Hyperlink"/>
                <w:noProof/>
              </w:rPr>
              <w:t>ICD-10 Code basierte syndromische Surveillance schwerer akute Atemwegserkrankungen (ICOSARI)</w:t>
            </w:r>
            <w:r>
              <w:rPr>
                <w:noProof/>
                <w:webHidden/>
              </w:rPr>
              <w:tab/>
            </w:r>
            <w:r>
              <w:rPr>
                <w:noProof/>
                <w:webHidden/>
              </w:rPr>
              <w:fldChar w:fldCharType="begin"/>
            </w:r>
            <w:r>
              <w:rPr>
                <w:noProof/>
                <w:webHidden/>
              </w:rPr>
              <w:instrText xml:space="preserve"> PAGEREF _Toc60668068 \h </w:instrText>
            </w:r>
            <w:r>
              <w:rPr>
                <w:noProof/>
                <w:webHidden/>
              </w:rPr>
            </w:r>
            <w:r>
              <w:rPr>
                <w:noProof/>
                <w:webHidden/>
              </w:rPr>
              <w:fldChar w:fldCharType="separate"/>
            </w:r>
            <w:r>
              <w:rPr>
                <w:noProof/>
                <w:webHidden/>
              </w:rPr>
              <w:t>10</w:t>
            </w:r>
            <w:r>
              <w:rPr>
                <w:noProof/>
                <w:webHidden/>
              </w:rPr>
              <w:fldChar w:fldCharType="end"/>
            </w:r>
          </w:hyperlink>
        </w:p>
        <w:p>
          <w:pPr>
            <w:pStyle w:val="Verzeichnis2"/>
            <w:tabs>
              <w:tab w:val="left" w:pos="660"/>
              <w:tab w:val="right" w:leader="dot" w:pos="9204"/>
            </w:tabs>
            <w:rPr>
              <w:rFonts w:asciiTheme="minorHAnsi" w:hAnsiTheme="minorHAnsi"/>
              <w:noProof/>
              <w:sz w:val="22"/>
              <w:szCs w:val="22"/>
            </w:rPr>
          </w:pPr>
          <w:hyperlink w:anchor="_Toc60668069" w:history="1">
            <w:r>
              <w:rPr>
                <w:rStyle w:val="Hyperlink"/>
                <w:noProof/>
              </w:rPr>
              <w:t>5)</w:t>
            </w:r>
            <w:r>
              <w:rPr>
                <w:rFonts w:asciiTheme="minorHAnsi" w:hAnsiTheme="minorHAnsi"/>
                <w:noProof/>
                <w:sz w:val="22"/>
                <w:szCs w:val="22"/>
              </w:rPr>
              <w:tab/>
            </w:r>
            <w:r>
              <w:rPr>
                <w:rStyle w:val="Hyperlink"/>
                <w:noProof/>
              </w:rPr>
              <w:t>DIVI-Intensivregister</w:t>
            </w:r>
            <w:r>
              <w:rPr>
                <w:noProof/>
                <w:webHidden/>
              </w:rPr>
              <w:tab/>
            </w:r>
            <w:r>
              <w:rPr>
                <w:noProof/>
                <w:webHidden/>
              </w:rPr>
              <w:fldChar w:fldCharType="begin"/>
            </w:r>
            <w:r>
              <w:rPr>
                <w:noProof/>
                <w:webHidden/>
              </w:rPr>
              <w:instrText xml:space="preserve"> PAGEREF _Toc60668069 \h </w:instrText>
            </w:r>
            <w:r>
              <w:rPr>
                <w:noProof/>
                <w:webHidden/>
              </w:rPr>
            </w:r>
            <w:r>
              <w:rPr>
                <w:noProof/>
                <w:webHidden/>
              </w:rPr>
              <w:fldChar w:fldCharType="separate"/>
            </w:r>
            <w:r>
              <w:rPr>
                <w:noProof/>
                <w:webHidden/>
              </w:rPr>
              <w:t>11</w:t>
            </w:r>
            <w:r>
              <w:rPr>
                <w:noProof/>
                <w:webHidden/>
              </w:rPr>
              <w:fldChar w:fldCharType="end"/>
            </w:r>
          </w:hyperlink>
        </w:p>
        <w:p>
          <w:pPr>
            <w:pStyle w:val="Verzeichnis2"/>
            <w:tabs>
              <w:tab w:val="left" w:pos="660"/>
              <w:tab w:val="right" w:leader="dot" w:pos="9204"/>
            </w:tabs>
            <w:rPr>
              <w:rFonts w:asciiTheme="minorHAnsi" w:hAnsiTheme="minorHAnsi"/>
              <w:noProof/>
              <w:sz w:val="22"/>
              <w:szCs w:val="22"/>
            </w:rPr>
          </w:pPr>
          <w:hyperlink w:anchor="_Toc60668070" w:history="1">
            <w:r>
              <w:rPr>
                <w:rStyle w:val="Hyperlink"/>
                <w:rFonts w:ascii="Scala Sans OT" w:hAnsi="Scala Sans OT"/>
                <w:noProof/>
              </w:rPr>
              <w:t>6)</w:t>
            </w:r>
            <w:r>
              <w:rPr>
                <w:rFonts w:asciiTheme="minorHAnsi" w:hAnsiTheme="minorHAnsi"/>
                <w:noProof/>
                <w:sz w:val="22"/>
                <w:szCs w:val="22"/>
              </w:rPr>
              <w:tab/>
            </w:r>
            <w:r>
              <w:rPr>
                <w:rStyle w:val="Hyperlink"/>
                <w:rFonts w:ascii="Scala Sans OT" w:hAnsi="Scala Sans OT"/>
                <w:noProof/>
              </w:rPr>
              <w:t>Molekulare Analyse von SARS-CoV-2</w:t>
            </w:r>
            <w:r>
              <w:rPr>
                <w:noProof/>
                <w:webHidden/>
              </w:rPr>
              <w:tab/>
            </w:r>
            <w:r>
              <w:rPr>
                <w:noProof/>
                <w:webHidden/>
              </w:rPr>
              <w:fldChar w:fldCharType="begin"/>
            </w:r>
            <w:r>
              <w:rPr>
                <w:noProof/>
                <w:webHidden/>
              </w:rPr>
              <w:instrText xml:space="preserve"> PAGEREF _Toc60668070 \h </w:instrText>
            </w:r>
            <w:r>
              <w:rPr>
                <w:noProof/>
                <w:webHidden/>
              </w:rPr>
            </w:r>
            <w:r>
              <w:rPr>
                <w:noProof/>
                <w:webHidden/>
              </w:rPr>
              <w:fldChar w:fldCharType="separate"/>
            </w:r>
            <w:r>
              <w:rPr>
                <w:noProof/>
                <w:webHidden/>
              </w:rPr>
              <w:t>11</w:t>
            </w:r>
            <w:r>
              <w:rPr>
                <w:noProof/>
                <w:webHidden/>
              </w:rPr>
              <w:fldChar w:fldCharType="end"/>
            </w:r>
          </w:hyperlink>
        </w:p>
        <w:p>
          <w:pPr>
            <w:pStyle w:val="Verzeichnis2"/>
            <w:tabs>
              <w:tab w:val="left" w:pos="660"/>
              <w:tab w:val="right" w:leader="dot" w:pos="9204"/>
            </w:tabs>
            <w:rPr>
              <w:rFonts w:asciiTheme="minorHAnsi" w:hAnsiTheme="minorHAnsi"/>
              <w:noProof/>
              <w:sz w:val="22"/>
              <w:szCs w:val="22"/>
            </w:rPr>
          </w:pPr>
          <w:hyperlink w:anchor="_Toc60668071" w:history="1">
            <w:r>
              <w:rPr>
                <w:rStyle w:val="Hyperlink"/>
                <w:rFonts w:ascii="Scala Sans OT" w:hAnsi="Scala Sans OT"/>
                <w:noProof/>
              </w:rPr>
              <w:t>7)</w:t>
            </w:r>
            <w:r>
              <w:rPr>
                <w:rFonts w:asciiTheme="minorHAnsi" w:hAnsiTheme="minorHAnsi"/>
                <w:noProof/>
                <w:sz w:val="22"/>
                <w:szCs w:val="22"/>
              </w:rPr>
              <w:tab/>
            </w:r>
            <w:r>
              <w:rPr>
                <w:rStyle w:val="Hyperlink"/>
                <w:rFonts w:ascii="Scala Sans OT" w:hAnsi="Scala Sans OT"/>
                <w:noProof/>
              </w:rPr>
              <w:t>Mobilitätsdaten</w:t>
            </w:r>
            <w:r>
              <w:rPr>
                <w:noProof/>
                <w:webHidden/>
              </w:rPr>
              <w:tab/>
            </w:r>
            <w:r>
              <w:rPr>
                <w:noProof/>
                <w:webHidden/>
              </w:rPr>
              <w:fldChar w:fldCharType="begin"/>
            </w:r>
            <w:r>
              <w:rPr>
                <w:noProof/>
                <w:webHidden/>
              </w:rPr>
              <w:instrText xml:space="preserve"> PAGEREF _Toc60668071 \h </w:instrText>
            </w:r>
            <w:r>
              <w:rPr>
                <w:noProof/>
                <w:webHidden/>
              </w:rPr>
            </w:r>
            <w:r>
              <w:rPr>
                <w:noProof/>
                <w:webHidden/>
              </w:rPr>
              <w:fldChar w:fldCharType="separate"/>
            </w:r>
            <w:r>
              <w:rPr>
                <w:noProof/>
                <w:webHidden/>
              </w:rPr>
              <w:t>12</w:t>
            </w:r>
            <w:r>
              <w:rPr>
                <w:noProof/>
                <w:webHidden/>
              </w:rPr>
              <w:fldChar w:fldCharType="end"/>
            </w:r>
          </w:hyperlink>
        </w:p>
        <w:p>
          <w:pPr>
            <w:rPr>
              <w:rFonts w:ascii="Scala Sans OT" w:hAnsi="Scala Sans OT"/>
            </w:rPr>
          </w:pPr>
          <w:r>
            <w:rPr>
              <w:rFonts w:ascii="Scala Sans OT" w:hAnsi="Scala Sans OT"/>
              <w:b/>
              <w:bCs/>
            </w:rPr>
            <w:fldChar w:fldCharType="end"/>
          </w:r>
        </w:p>
      </w:sdtContent>
    </w:sdt>
    <w:p>
      <w:pPr>
        <w:spacing w:line="240" w:lineRule="auto"/>
        <w:ind w:left="0"/>
        <w:rPr>
          <w:rFonts w:ascii="Scala Sans OT" w:eastAsiaTheme="minorHAnsi" w:hAnsi="Scala Sans OT"/>
          <w:sz w:val="22"/>
          <w:szCs w:val="21"/>
          <w:lang w:eastAsia="en-US"/>
        </w:rPr>
      </w:pPr>
      <w:r>
        <w:rPr>
          <w:rFonts w:ascii="Scala Sans OT" w:hAnsi="Scala Sans OT"/>
        </w:rPr>
        <w:br w:type="page"/>
      </w:r>
    </w:p>
    <w:p>
      <w:pPr>
        <w:pStyle w:val="berschrift1"/>
        <w:rPr>
          <w:rFonts w:ascii="Scala Sans OT" w:hAnsi="Scala Sans OT"/>
        </w:rPr>
      </w:pPr>
      <w:bookmarkStart w:id="2" w:name="_Toc60668062"/>
      <w:r>
        <w:rPr>
          <w:rFonts w:ascii="Scala Sans OT" w:hAnsi="Scala Sans OT"/>
        </w:rPr>
        <w:lastRenderedPageBreak/>
        <w:t>Zusammenfassung:</w:t>
      </w:r>
      <w:bookmarkEnd w:id="2"/>
    </w:p>
    <w:p>
      <w:pPr>
        <w:pStyle w:val="NurText"/>
        <w:rPr>
          <w:rFonts w:ascii="Scala Sans OT" w:hAnsi="Scala Sans OT"/>
          <w:lang w:val="de-DE"/>
        </w:rPr>
      </w:pPr>
    </w:p>
    <w:p>
      <w:pPr>
        <w:pStyle w:val="NurText"/>
        <w:rPr>
          <w:lang w:val="de-DE"/>
        </w:rPr>
      </w:pPr>
      <w:r>
        <w:rPr>
          <w:lang w:val="de-DE"/>
        </w:rPr>
        <w:t xml:space="preserve">Das Robert Koch-Institut bezieht bei seiner Bewertung der Situation verschiedene </w:t>
      </w:r>
      <w:proofErr w:type="spellStart"/>
      <w:r>
        <w:rPr>
          <w:lang w:val="de-DE"/>
        </w:rPr>
        <w:t>Surveillanceinstrumente</w:t>
      </w:r>
      <w:proofErr w:type="spellEnd"/>
      <w:r>
        <w:rPr>
          <w:lang w:val="de-DE"/>
        </w:rPr>
        <w:t xml:space="preserve"> und Informationsquellen ein. Die </w:t>
      </w:r>
      <w:r>
        <w:rPr>
          <w:b/>
          <w:lang w:val="de-DE"/>
        </w:rPr>
        <w:t>Meldedaten</w:t>
      </w:r>
      <w:r>
        <w:rPr>
          <w:lang w:val="de-DE"/>
        </w:rPr>
        <w:t xml:space="preserve"> nach dem IfSG (unter Berücksichtigung des Diagnostik- und Meldeverzugs) und die darauf basierenden Auswertungen sind nur eines von mehreren Erhebungsinstrumenten zur Beurteilung der Lage. Davon unabhängig werden die durchgeführten </w:t>
      </w:r>
      <w:r>
        <w:rPr>
          <w:b/>
          <w:lang w:val="de-DE"/>
        </w:rPr>
        <w:t>labordiagnostischen Untersuchungen</w:t>
      </w:r>
      <w:r>
        <w:rPr>
          <w:lang w:val="de-DE"/>
        </w:rPr>
        <w:t xml:space="preserve"> und der Anteil der positiven Nachweise bei der Bewertung berücksichtigt. Wichtige Informationen liefern auch die Instrumente der </w:t>
      </w:r>
      <w:proofErr w:type="spellStart"/>
      <w:r>
        <w:rPr>
          <w:b/>
          <w:lang w:val="de-DE"/>
        </w:rPr>
        <w:t>syndromischen</w:t>
      </w:r>
      <w:proofErr w:type="spellEnd"/>
      <w:r>
        <w:rPr>
          <w:b/>
          <w:lang w:val="de-DE"/>
        </w:rPr>
        <w:t xml:space="preserve"> Krankheitsüberwachung</w:t>
      </w:r>
      <w:r>
        <w:rPr>
          <w:lang w:val="de-DE"/>
        </w:rPr>
        <w:t xml:space="preserve">, die bundesweit die Situation in der Bevölkerung und den primärversorgenden Arztpraxen erfassen gemeinsam mit der </w:t>
      </w:r>
      <w:r>
        <w:rPr>
          <w:b/>
          <w:lang w:val="de-DE"/>
        </w:rPr>
        <w:t>virologischen Surveillance</w:t>
      </w:r>
      <w:r>
        <w:rPr>
          <w:lang w:val="de-DE"/>
        </w:rPr>
        <w:t xml:space="preserve">. Aufgrund der Erkrankungsschwere von COVID-19 bei älteren Menschen und bei Vorliegen von Grundkrankheiten stehen die Informationen zu den Hospitalisierungen aus dem </w:t>
      </w:r>
      <w:r>
        <w:rPr>
          <w:b/>
          <w:lang w:val="de-DE"/>
        </w:rPr>
        <w:t>Krankenhausnetzwerk für schwere akute Atemwegserkrankungen</w:t>
      </w:r>
      <w:r>
        <w:rPr>
          <w:lang w:val="de-DE"/>
        </w:rPr>
        <w:t xml:space="preserve"> (ICOSARI) und die </w:t>
      </w:r>
      <w:r>
        <w:rPr>
          <w:b/>
          <w:lang w:val="de-DE"/>
        </w:rPr>
        <w:t>Belegung der Intensivstationen</w:t>
      </w:r>
      <w:r>
        <w:rPr>
          <w:lang w:val="de-DE"/>
        </w:rPr>
        <w:t xml:space="preserve"> im Zentrum der Bewertung der Situation im Mittelpunkt. Nicht zuletzt müssen auch die </w:t>
      </w:r>
      <w:r>
        <w:rPr>
          <w:b/>
          <w:lang w:val="de-DE"/>
        </w:rPr>
        <w:t>Todesfälle bei Patienten mit COVID-19 Erkrankung</w:t>
      </w:r>
      <w:r>
        <w:rPr>
          <w:lang w:val="de-DE"/>
        </w:rPr>
        <w:t xml:space="preserve"> in Betracht gezogen werden. Unterstützt wird die Einschätzung der Situation durch die </w:t>
      </w:r>
      <w:r>
        <w:rPr>
          <w:b/>
          <w:lang w:val="de-DE"/>
        </w:rPr>
        <w:t>molekulare Analyse der Viren</w:t>
      </w:r>
      <w:r>
        <w:rPr>
          <w:lang w:val="de-DE"/>
        </w:rPr>
        <w:t xml:space="preserve"> und die Informationen zu </w:t>
      </w:r>
      <w:r>
        <w:rPr>
          <w:b/>
          <w:lang w:val="de-DE"/>
        </w:rPr>
        <w:t>Änderungen in der Mobilität</w:t>
      </w:r>
      <w:r>
        <w:rPr>
          <w:lang w:val="de-DE"/>
        </w:rPr>
        <w:t xml:space="preserve"> und zum Kontaktverhalten in der Bevölkerung.</w:t>
      </w:r>
    </w:p>
    <w:p>
      <w:pPr>
        <w:pStyle w:val="NurText"/>
        <w:rPr>
          <w:rFonts w:ascii="Scala Sans OT" w:hAnsi="Scala Sans OT"/>
          <w:strike/>
          <w:lang w:val="de-DE"/>
        </w:rPr>
      </w:pPr>
    </w:p>
    <w:p>
      <w:pPr>
        <w:pStyle w:val="NurText"/>
        <w:rPr>
          <w:rFonts w:ascii="Scala Sans OT" w:hAnsi="Scala Sans OT"/>
          <w:lang w:val="de-DE"/>
        </w:rPr>
      </w:pPr>
    </w:p>
    <w:p>
      <w:pPr>
        <w:pStyle w:val="NurText"/>
        <w:rPr>
          <w:rFonts w:ascii="Scala Sans OT" w:hAnsi="Scala Sans OT"/>
          <w:lang w:val="de-DE"/>
        </w:rPr>
      </w:pPr>
      <w:r>
        <w:rPr>
          <w:rFonts w:ascii="Scala Sans OT" w:hAnsi="Scala Sans OT"/>
          <w:lang w:val="de-DE"/>
        </w:rPr>
        <w:t>Die wesentlichen Informationen aus den einzelnen Systemen, auf denen diese Bewertung beruht sowie notwendige Informationen zur Methodik und den jeweiligen Limitationen sind nachfolgend im Einzelnen dargestellt.</w:t>
      </w:r>
    </w:p>
    <w:p>
      <w:pPr>
        <w:spacing w:line="240" w:lineRule="auto"/>
        <w:ind w:left="0"/>
        <w:rPr>
          <w:rFonts w:ascii="Scala Sans OT" w:eastAsiaTheme="minorHAnsi" w:hAnsi="Scala Sans OT"/>
          <w:sz w:val="22"/>
          <w:szCs w:val="21"/>
          <w:lang w:eastAsia="en-US"/>
        </w:rPr>
      </w:pPr>
      <w:r>
        <w:rPr>
          <w:rFonts w:ascii="Scala Sans OT" w:hAnsi="Scala Sans OT"/>
        </w:rPr>
        <w:br w:type="page"/>
      </w:r>
    </w:p>
    <w:p>
      <w:pPr>
        <w:pStyle w:val="berschrift1"/>
        <w:rPr>
          <w:rFonts w:ascii="Scala Sans OT" w:hAnsi="Scala Sans OT"/>
        </w:rPr>
      </w:pPr>
      <w:bookmarkStart w:id="3" w:name="_Toc60668063"/>
      <w:r>
        <w:rPr>
          <w:rFonts w:ascii="Scala Sans OT" w:hAnsi="Scala Sans OT"/>
        </w:rPr>
        <w:lastRenderedPageBreak/>
        <w:t>Auswertungen im Einzelnen:</w:t>
      </w:r>
      <w:bookmarkEnd w:id="3"/>
    </w:p>
    <w:p>
      <w:pPr>
        <w:pStyle w:val="NurText"/>
        <w:rPr>
          <w:rFonts w:ascii="Scala Sans OT" w:hAnsi="Scala Sans OT"/>
          <w:color w:val="365F91" w:themeColor="accent1" w:themeShade="BF"/>
          <w:lang w:val="de-DE"/>
        </w:rPr>
      </w:pPr>
    </w:p>
    <w:p>
      <w:pPr>
        <w:pStyle w:val="berschrift2"/>
        <w:ind w:firstLine="170"/>
        <w:rPr>
          <w:rFonts w:ascii="Scala Sans OT" w:hAnsi="Scala Sans OT"/>
        </w:rPr>
      </w:pPr>
      <w:bookmarkStart w:id="4" w:name="_Toc60668064"/>
      <w:r>
        <w:rPr>
          <w:rFonts w:ascii="Scala Sans OT" w:hAnsi="Scala Sans OT"/>
        </w:rPr>
        <w:t>Vorbemerkung</w:t>
      </w:r>
      <w:bookmarkEnd w:id="4"/>
    </w:p>
    <w:p/>
    <w:p>
      <w:pPr>
        <w:pStyle w:val="NurText"/>
        <w:rPr>
          <w:rFonts w:ascii="Scala Sans OT" w:hAnsi="Scala Sans OT"/>
          <w:szCs w:val="22"/>
          <w:lang w:val="de-DE"/>
        </w:rPr>
      </w:pPr>
      <w:r>
        <w:rPr>
          <w:rFonts w:ascii="Scala Sans OT" w:hAnsi="Scala Sans OT"/>
          <w:szCs w:val="22"/>
          <w:lang w:val="de-DE"/>
        </w:rPr>
        <w:t>Während der Weihnachtsfeiertage, zum Jahreswechsel und an den umgebenden Tagen ist bei der Interpretation der Fallzahlen zu beachten, dass zum einen meist weniger Personen einen Arzt aufsuchen, dadurch werden weniger Proben genommen und weniger Laboruntersuchungen durchgeführt. Dies führt dazu, dass weniger Erregernachweise an die zuständigen Gesundheitsämter gemeldet werden. Zum anderen kann es sein, dass nicht alle Gesundheitsämter und zuständigen Landesbehörden an allen Tagen an das RKI übermitteln.</w:t>
      </w:r>
    </w:p>
    <w:p>
      <w:pPr>
        <w:pStyle w:val="NurText"/>
        <w:rPr>
          <w:rFonts w:ascii="Scala Sans OT" w:hAnsi="Scala Sans OT"/>
          <w:lang w:val="de-DE"/>
        </w:rPr>
      </w:pPr>
      <w:r>
        <w:rPr>
          <w:rFonts w:ascii="Scala Sans OT" w:hAnsi="Scala Sans OT"/>
          <w:lang w:val="de-DE"/>
        </w:rPr>
        <w:t>Auch ist zu beachten, dass während der Weihnachtsfeiertage und um Silvester durch Reisen und Familienbesuche es schon immer Veränderungen in der Kontakthäufigkeit, -intensität wie auch der konkreten Kontaktpersonen gab. Auch in diesem Jahr könnte es dadurch zu zusätzlichen SARS</w:t>
      </w:r>
      <w:r>
        <w:rPr>
          <w:rFonts w:ascii="Scala Sans OT" w:hAnsi="Scala Sans OT"/>
          <w:lang w:val="de-DE"/>
        </w:rPr>
        <w:noBreakHyphen/>
        <w:t>CoV</w:t>
      </w:r>
      <w:r>
        <w:rPr>
          <w:rFonts w:ascii="Scala Sans OT" w:hAnsi="Scala Sans OT"/>
          <w:lang w:val="de-DE"/>
        </w:rPr>
        <w:noBreakHyphen/>
        <w:t xml:space="preserve">2 Übertragungen gekommen sein. Aufgrund der Inkubationszeit (bzw. additiv die Zeit bis zu einer Krankenhauseinweisung) würden sich diese frühestens in den ersten beiden darauffolgenden Wochen manifestieren und könnten erst dann durch die Surveillance-Instrumente des RKI erfasst werden. </w:t>
      </w:r>
    </w:p>
    <w:p>
      <w:pPr>
        <w:pStyle w:val="NurText"/>
        <w:rPr>
          <w:rFonts w:ascii="Scala Sans OT" w:hAnsi="Scala Sans OT"/>
          <w:lang w:val="de-DE"/>
        </w:rPr>
      </w:pPr>
    </w:p>
    <w:p>
      <w:pPr>
        <w:pStyle w:val="berschrift2"/>
        <w:numPr>
          <w:ilvl w:val="0"/>
          <w:numId w:val="5"/>
        </w:numPr>
        <w:rPr>
          <w:rFonts w:ascii="Scala Sans OT" w:hAnsi="Scala Sans OT"/>
        </w:rPr>
      </w:pPr>
      <w:bookmarkStart w:id="5" w:name="_Toc60668065"/>
      <w:r>
        <w:rPr>
          <w:rFonts w:ascii="Scala Sans OT" w:hAnsi="Scala Sans OT"/>
        </w:rPr>
        <w:t>Meldedaten (unter Berücksichtigung des Diagnostik- und Meldeverzugs)</w:t>
      </w:r>
      <w:bookmarkEnd w:id="5"/>
    </w:p>
    <w:p/>
    <w:p>
      <w:pPr>
        <w:pStyle w:val="NurText"/>
        <w:rPr>
          <w:rFonts w:ascii="Scala Sans OT" w:hAnsi="Scala Sans OT"/>
          <w:lang w:val="de-DE"/>
        </w:rPr>
      </w:pPr>
      <w:r>
        <w:rPr>
          <w:rFonts w:ascii="Scala Sans OT" w:hAnsi="Scala Sans OT"/>
          <w:b/>
          <w:lang w:val="de-DE"/>
        </w:rPr>
        <w:t>Datenlage/Informationen zur Methodik:</w:t>
      </w:r>
      <w:r>
        <w:rPr>
          <w:rFonts w:ascii="Scala Sans OT" w:hAnsi="Scala Sans OT"/>
          <w:lang w:val="de-DE"/>
        </w:rPr>
        <w:t xml:space="preserve"> Dargestellt werden die bundesweit einheitlich erfassten und an das RKI übermittelten Daten zu laborbestätigten COVID-19-Fällen (COVID-19-Erkrankungen und akute SARS-CoV-2-Infektionen). COVID-19-Verdachtsfälle und -Erkrankungen sowie Nachweise von SARS-CoV-2 werden gemäß Infektionsschutzgesetz an das zuständige Gesundheitsamt gemeldet. Informationen zu Fällen können im Verlauf der Erkrankung nachermittelt und im Meldewesen nachgetragen werden. Nicht für alle Variablen gelingt eine vollständige Erfassung. </w:t>
      </w:r>
    </w:p>
    <w:p>
      <w:pPr>
        <w:pStyle w:val="NurText"/>
        <w:rPr>
          <w:rFonts w:ascii="Scala Sans OT" w:hAnsi="Scala Sans OT"/>
          <w:lang w:val="de-DE"/>
        </w:rPr>
      </w:pPr>
      <w:r>
        <w:rPr>
          <w:rFonts w:ascii="Scala Sans OT" w:hAnsi="Scala Sans OT"/>
          <w:lang w:val="de-DE"/>
        </w:rPr>
        <w:t xml:space="preserve">Die Gesundheitsämter ermitteln ggf. zusätzliche Informationen, bewerten den Fall und leiten die notwendigen Infektionsschutzmaßnahmen ein. Die Daten werden spätestens am nächsten Arbeitstag vom Gesundheitsamt elektronisch an die zuständige Landesbehörde und von dort an das RKI übermittelt. Es werden nur Fälle vom RKI veröffentlicht, bei denen eine labordiagnostische Bestätigung mittels </w:t>
      </w:r>
      <w:proofErr w:type="spellStart"/>
      <w:r>
        <w:rPr>
          <w:rFonts w:ascii="Scala Sans OT" w:hAnsi="Scala Sans OT"/>
          <w:lang w:val="de-DE"/>
        </w:rPr>
        <w:t>Nukleinsäurenachweis</w:t>
      </w:r>
      <w:proofErr w:type="spellEnd"/>
      <w:r>
        <w:rPr>
          <w:rFonts w:ascii="Scala Sans OT" w:hAnsi="Scala Sans OT"/>
          <w:lang w:val="de-DE"/>
        </w:rPr>
        <w:t xml:space="preserve"> (z.B. PCR) oder Erregerisolierung unabhängig vom klinischen Bild vorliegt. Die Daten werden am RKI einmal täglich jeweils um 0:00 Uhr aktualisiert.</w:t>
      </w:r>
    </w:p>
    <w:p>
      <w:pPr>
        <w:pStyle w:val="NurText"/>
        <w:rPr>
          <w:rFonts w:ascii="Scala Sans OT" w:hAnsi="Scala Sans OT"/>
          <w:lang w:val="de-DE"/>
        </w:rPr>
      </w:pPr>
      <w:r>
        <w:rPr>
          <w:rFonts w:ascii="Scala Sans OT" w:hAnsi="Scala Sans OT"/>
          <w:lang w:val="de-DE"/>
        </w:rPr>
        <w:t xml:space="preserve">Für die Bewertung werden die Anzahl der Meldungen über DEMIS, Anzahl der Fälle nach Meldedatum, nach Erkrankungsbeginn, Datum des Eingangs am RKI, Korrektur für Diagnose-, Melde- und Übermittlungsverzug durch </w:t>
      </w:r>
      <w:proofErr w:type="spellStart"/>
      <w:r>
        <w:rPr>
          <w:rFonts w:ascii="Scala Sans OT" w:hAnsi="Scala Sans OT"/>
          <w:lang w:val="de-DE"/>
        </w:rPr>
        <w:t>Nowcasting</w:t>
      </w:r>
      <w:proofErr w:type="spellEnd"/>
      <w:r>
        <w:rPr>
          <w:rFonts w:ascii="Scala Sans OT" w:hAnsi="Scala Sans OT"/>
          <w:lang w:val="de-DE"/>
        </w:rPr>
        <w:t xml:space="preserve"> herangezogen.</w:t>
      </w:r>
    </w:p>
    <w:p>
      <w:pPr>
        <w:pStyle w:val="NurText"/>
        <w:rPr>
          <w:rFonts w:ascii="Scala Sans OT" w:hAnsi="Scala Sans OT"/>
          <w:b/>
          <w:lang w:val="de-DE"/>
        </w:rPr>
      </w:pPr>
    </w:p>
    <w:p>
      <w:pPr>
        <w:pStyle w:val="NurText"/>
        <w:rPr>
          <w:rFonts w:ascii="Scala Sans OT" w:hAnsi="Scala Sans OT"/>
          <w:lang w:val="de-DE"/>
        </w:rPr>
      </w:pPr>
      <w:r>
        <w:rPr>
          <w:rFonts w:ascii="Scala Sans OT" w:hAnsi="Scala Sans OT"/>
          <w:b/>
          <w:lang w:val="de-DE"/>
        </w:rPr>
        <w:t>Limitationen:</w:t>
      </w:r>
      <w:r>
        <w:rPr>
          <w:rFonts w:ascii="Scala Sans OT" w:hAnsi="Scala Sans OT"/>
          <w:lang w:val="de-DE"/>
        </w:rPr>
        <w:t xml:space="preserve"> Anhand der Meldedaten kann nicht nachvollzogen werden, wie viele Untersuchungen durchgeführt werden und geben auch keinen Aufschluss über das Verhalten der Bevölkerung und die Compliance mit den Maßnahmen. Aufgrund geringerer Testzahlen in KW 52 ist der Rückgang der Fallzahlen und des R-Werts in den Weihnachtstagen bis zum Jahreswechsel vermutlich unterschätzt.</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b/>
          <w:lang w:val="de-DE"/>
        </w:rPr>
        <w:t>Bewertung:</w:t>
      </w:r>
      <w:r>
        <w:rPr>
          <w:rFonts w:ascii="Scala Sans OT" w:hAnsi="Scala Sans OT"/>
          <w:lang w:val="de-DE"/>
        </w:rPr>
        <w:t xml:space="preserve"> Die höchste Anzahl COVID-19-Fälle wurde bisher in KW 51 registriert und ist in KW52 und KW53 zurückgegangen. Anhand der Meldedaten allein kann jedoch nicht beurteilt werden, ob dies ein tatsächlicher Rückgang ist, oder ob dieser Rückgang darauf zurückgeführt werden kann, dass über den Jahreswechsel weniger Untersuchungen auf SARS-CoV-2 veranlasst und somit Tests in den Laboren durchgeführt worden. Anhand des epidemiologischen Profils (Altersverteilung, regionale Verteilung) ergeben sich keine besonderen Auffälligkeiten in den Meldedaten. Anhand der über DEMIS elektronisch abgesetzten Meldungen und der Analyse des Meldeverzugs lässt sich aber zumindest bewerten, dass der insgesamte Rückgang der Fallzahlen nicht auf einen Verzug innerhalb des Meldesystems zurückzuführen ist. </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lang w:val="de-DE"/>
        </w:rPr>
        <w:lastRenderedPageBreak/>
        <w:t>Auch wenn an einzelnen Tagen durch die Gesundheitsämter weniger Daten übermittelt worden sind, sind die Nachübermittlungen zügig erfolgt und haben keinen Einfluss auf die Darstellung der Daten nach Meldewoche.</w:t>
      </w:r>
    </w:p>
    <w:p>
      <w:pPr>
        <w:pStyle w:val="NurText"/>
        <w:keepNext/>
        <w:rPr>
          <w:rFonts w:ascii="Scala Sans OT" w:hAnsi="Scala Sans OT"/>
        </w:rPr>
      </w:pPr>
      <w:r>
        <w:rPr>
          <w:rFonts w:ascii="Scala Sans OT" w:hAnsi="Scala Sans OT"/>
          <w:noProof/>
          <w:lang w:val="de-DE"/>
        </w:rPr>
        <w:drawing>
          <wp:inline distT="0" distB="0" distL="0" distR="0">
            <wp:extent cx="5314950" cy="260985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14950" cy="2609850"/>
                    </a:xfrm>
                    <a:prstGeom prst="rect">
                      <a:avLst/>
                    </a:prstGeom>
                    <a:noFill/>
                    <a:ln>
                      <a:noFill/>
                    </a:ln>
                  </pic:spPr>
                </pic:pic>
              </a:graphicData>
            </a:graphic>
          </wp:inline>
        </w:drawing>
      </w:r>
    </w:p>
    <w:p>
      <w:pPr>
        <w:pStyle w:val="Beschriftung"/>
        <w:rPr>
          <w:rFonts w:ascii="Scala Sans OT" w:hAnsi="Scala Sans OT"/>
          <w:lang w:val="de-DE"/>
        </w:rPr>
      </w:pPr>
      <w:r>
        <w:rPr>
          <w:rFonts w:ascii="Scala Sans OT" w:hAnsi="Scala Sans OT"/>
          <w:lang w:val="de-DE"/>
        </w:rPr>
        <w:t xml:space="preserve">Abbildung </w:t>
      </w:r>
      <w:r>
        <w:rPr>
          <w:rFonts w:ascii="Scala Sans OT" w:hAnsi="Scala Sans OT"/>
        </w:rPr>
        <w:fldChar w:fldCharType="begin"/>
      </w:r>
      <w:r>
        <w:rPr>
          <w:rFonts w:ascii="Scala Sans OT" w:hAnsi="Scala Sans OT"/>
          <w:lang w:val="de-DE"/>
        </w:rPr>
        <w:instrText xml:space="preserve"> SEQ Abbildung \* ARABIC </w:instrText>
      </w:r>
      <w:r>
        <w:rPr>
          <w:rFonts w:ascii="Scala Sans OT" w:hAnsi="Scala Sans OT"/>
        </w:rPr>
        <w:fldChar w:fldCharType="separate"/>
      </w:r>
      <w:r>
        <w:rPr>
          <w:rFonts w:ascii="Scala Sans OT" w:hAnsi="Scala Sans OT"/>
          <w:noProof/>
          <w:lang w:val="de-DE"/>
        </w:rPr>
        <w:t>1</w:t>
      </w:r>
      <w:r>
        <w:rPr>
          <w:rFonts w:ascii="Scala Sans OT" w:hAnsi="Scala Sans OT"/>
        </w:rPr>
        <w:fldChar w:fldCharType="end"/>
      </w:r>
      <w:r>
        <w:rPr>
          <w:rFonts w:ascii="Scala Sans OT" w:hAnsi="Scala Sans OT"/>
          <w:lang w:val="de-DE"/>
        </w:rPr>
        <w:t>: Anzahl der an das RKI übermittelten COVID-19-Fälle nach Meldewoche (40.-53. MW)</w:t>
      </w:r>
    </w:p>
    <w:p>
      <w:pPr>
        <w:rPr>
          <w:rFonts w:ascii="Scala Sans OT" w:hAnsi="Scala Sans OT"/>
        </w:rPr>
      </w:pPr>
    </w:p>
    <w:p>
      <w:pPr>
        <w:pStyle w:val="NurText"/>
        <w:keepNext/>
        <w:rPr>
          <w:rFonts w:ascii="Scala Sans OT" w:hAnsi="Scala Sans OT"/>
        </w:rPr>
      </w:pPr>
      <w:r>
        <w:rPr>
          <w:rFonts w:ascii="Scala Sans OT" w:hAnsi="Scala Sans OT"/>
          <w:noProof/>
          <w:lang w:val="de-DE"/>
        </w:rPr>
        <w:drawing>
          <wp:inline distT="0" distB="0" distL="0" distR="0">
            <wp:extent cx="5324475" cy="3257550"/>
            <wp:effectExtent l="0" t="0" r="952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4475" cy="3257550"/>
                    </a:xfrm>
                    <a:prstGeom prst="rect">
                      <a:avLst/>
                    </a:prstGeom>
                    <a:noFill/>
                    <a:ln>
                      <a:noFill/>
                    </a:ln>
                  </pic:spPr>
                </pic:pic>
              </a:graphicData>
            </a:graphic>
          </wp:inline>
        </w:drawing>
      </w:r>
    </w:p>
    <w:p>
      <w:pPr>
        <w:pStyle w:val="Beschriftung"/>
        <w:rPr>
          <w:rFonts w:ascii="Scala Sans OT" w:hAnsi="Scala Sans OT"/>
          <w:lang w:val="de-DE"/>
        </w:rPr>
      </w:pPr>
      <w:r>
        <w:rPr>
          <w:rFonts w:ascii="Scala Sans OT" w:hAnsi="Scala Sans OT"/>
          <w:lang w:val="de-DE"/>
        </w:rPr>
        <w:t xml:space="preserve">Abbildung </w:t>
      </w:r>
      <w:r>
        <w:rPr>
          <w:rFonts w:ascii="Scala Sans OT" w:hAnsi="Scala Sans OT"/>
        </w:rPr>
        <w:fldChar w:fldCharType="begin"/>
      </w:r>
      <w:r>
        <w:rPr>
          <w:rFonts w:ascii="Scala Sans OT" w:hAnsi="Scala Sans OT"/>
          <w:lang w:val="de-DE"/>
        </w:rPr>
        <w:instrText xml:space="preserve"> SEQ Abbildung \* ARABIC </w:instrText>
      </w:r>
      <w:r>
        <w:rPr>
          <w:rFonts w:ascii="Scala Sans OT" w:hAnsi="Scala Sans OT"/>
        </w:rPr>
        <w:fldChar w:fldCharType="separate"/>
      </w:r>
      <w:r>
        <w:rPr>
          <w:rFonts w:ascii="Scala Sans OT" w:hAnsi="Scala Sans OT"/>
          <w:noProof/>
          <w:lang w:val="de-DE"/>
        </w:rPr>
        <w:t>2</w:t>
      </w:r>
      <w:r>
        <w:rPr>
          <w:rFonts w:ascii="Scala Sans OT" w:hAnsi="Scala Sans OT"/>
        </w:rPr>
        <w:fldChar w:fldCharType="end"/>
      </w:r>
      <w:r>
        <w:rPr>
          <w:rFonts w:ascii="Scala Sans OT" w:hAnsi="Scala Sans OT"/>
          <w:lang w:val="de-DE"/>
        </w:rPr>
        <w:t>: Anteil übermittelnder GÄ (graue Balken), Anzahl der Meldungen in DEMIS, Anzahl der Falle nach Meldedatum und nach Berichtsdatum des RKI (16.12.2020-04.01.2021)</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lang w:val="de-DE"/>
        </w:rPr>
        <w:t>Eine Korrektur der aktuellen Entwicklung der Fallzahlen ist schwierig, da das Verhalten der Bevölkerung über die Feiertage vom normalen Verhalten abweicht, andere Kontaktmuster entstehen und auch die Auswirkungen der Verschärfung des Lockdowns seit dem 16. Dezember schwer einzuschätzen sind.</w:t>
      </w:r>
    </w:p>
    <w:p>
      <w:pPr>
        <w:pStyle w:val="NurText"/>
        <w:rPr>
          <w:rFonts w:ascii="Scala Sans OT" w:hAnsi="Scala Sans OT"/>
          <w:lang w:val="de-DE"/>
        </w:rPr>
      </w:pPr>
      <w:r>
        <w:rPr>
          <w:rFonts w:ascii="Scala Sans OT" w:hAnsi="Scala Sans OT"/>
          <w:lang w:val="de-DE"/>
        </w:rPr>
        <w:t>Im besten Fall liegt die Anzahl neuer COVID-19 Fälle wieder auf dem Niveau vom November, realistisch ist immer noch von einem höheren Niveau auszugehen.</w:t>
      </w:r>
    </w:p>
    <w:p>
      <w:pPr>
        <w:spacing w:line="240" w:lineRule="auto"/>
        <w:ind w:left="0"/>
        <w:rPr>
          <w:rFonts w:ascii="Scala Sans OT" w:eastAsiaTheme="majorEastAsia" w:hAnsi="Scala Sans OT" w:cstheme="majorBidi"/>
          <w:color w:val="365F91" w:themeColor="accent1" w:themeShade="BF"/>
          <w:sz w:val="26"/>
          <w:szCs w:val="26"/>
        </w:rPr>
      </w:pPr>
      <w:r>
        <w:rPr>
          <w:rFonts w:ascii="Scala Sans OT" w:hAnsi="Scala Sans OT"/>
        </w:rPr>
        <w:lastRenderedPageBreak/>
        <w:br w:type="page"/>
      </w:r>
    </w:p>
    <w:p>
      <w:pPr>
        <w:pStyle w:val="berschrift2"/>
        <w:numPr>
          <w:ilvl w:val="0"/>
          <w:numId w:val="5"/>
        </w:numPr>
        <w:rPr>
          <w:rFonts w:ascii="Scala Sans OT" w:hAnsi="Scala Sans OT"/>
        </w:rPr>
      </w:pPr>
      <w:bookmarkStart w:id="6" w:name="_Toc60668066"/>
      <w:r>
        <w:rPr>
          <w:rFonts w:ascii="Scala Sans OT" w:hAnsi="Scala Sans OT"/>
        </w:rPr>
        <w:t xml:space="preserve">Zahl der durchgeführten labordiagnostischen Untersuchungen und der </w:t>
      </w:r>
      <w:proofErr w:type="spellStart"/>
      <w:r>
        <w:rPr>
          <w:rFonts w:ascii="Scala Sans OT" w:hAnsi="Scala Sans OT"/>
        </w:rPr>
        <w:t>Positivenanteil</w:t>
      </w:r>
      <w:bookmarkEnd w:id="6"/>
      <w:proofErr w:type="spellEnd"/>
    </w:p>
    <w:p>
      <w:pPr>
        <w:pStyle w:val="NurText"/>
        <w:rPr>
          <w:rFonts w:ascii="Scala Sans OT" w:hAnsi="Scala Sans OT"/>
          <w:lang w:val="de-DE"/>
        </w:rPr>
      </w:pPr>
    </w:p>
    <w:p>
      <w:pPr>
        <w:pStyle w:val="NurText"/>
        <w:numPr>
          <w:ilvl w:val="1"/>
          <w:numId w:val="1"/>
        </w:numPr>
        <w:rPr>
          <w:rFonts w:ascii="Scala Sans OT" w:hAnsi="Scala Sans OT"/>
          <w:b/>
          <w:lang w:val="de-DE"/>
        </w:rPr>
      </w:pPr>
      <w:r>
        <w:rPr>
          <w:rFonts w:ascii="Scala Sans OT" w:hAnsi="Scala Sans OT"/>
          <w:b/>
          <w:lang w:val="de-DE"/>
        </w:rPr>
        <w:t>PCR-Testzahlerfassung am RKI (VOXCO- RKI-Testlaborabfrage)</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b/>
          <w:lang w:val="de-DE"/>
        </w:rPr>
        <w:t>Datenlage/Informationen zur Methodik:</w:t>
      </w:r>
      <w:r>
        <w:rPr>
          <w:rFonts w:ascii="Scala Sans OT" w:hAnsi="Scala Sans OT"/>
          <w:lang w:val="de-DE"/>
        </w:rPr>
        <w:t xml:space="preserve"> Das RKI erfasst wöchentlich die SARS-CoV-2 PCR-Testzahlen. Hierfür werden deutschlandweit Daten von Universitätskliniken, Forschungseinrichtungen sowie klinischen und ambulanten Laboren zusammengeführt. Die Erfassung basiert auf einer freiwilligen Mitteilung der Labore und erfolgt über eine webbasierte Plattform (VOXCO, RKI-Testlaborabfrage) oder in Zusammenarbeit mit der am RKI etablierten, laborbasierten SARS-CoV-2-Surveillance (eine Erweiterung der Antibiotika-Resistenz-Surveillance, ARS), dem Netzwerk für respiratorische Viren (</w:t>
      </w:r>
      <w:proofErr w:type="spellStart"/>
      <w:r>
        <w:rPr>
          <w:rFonts w:ascii="Scala Sans OT" w:hAnsi="Scala Sans OT"/>
          <w:lang w:val="de-DE"/>
        </w:rPr>
        <w:t>RespVir</w:t>
      </w:r>
      <w:proofErr w:type="spellEnd"/>
      <w:r>
        <w:rPr>
          <w:rFonts w:ascii="Scala Sans OT" w:hAnsi="Scala Sans OT"/>
          <w:lang w:val="de-DE"/>
        </w:rPr>
        <w:t>) sowie der Abfrage eines labormedizinischen Berufsverbands.</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b/>
          <w:lang w:val="de-DE"/>
        </w:rPr>
        <w:t>Limitationen:</w:t>
      </w:r>
      <w:r>
        <w:rPr>
          <w:rFonts w:ascii="Scala Sans OT" w:hAnsi="Scala Sans OT"/>
          <w:lang w:val="de-DE"/>
        </w:rPr>
        <w:t xml:space="preserve"> Bei den erhobenen Daten handelt es sich um eine freiwillige und keine verpflichtende Angabe der Labore, sodass eine Vollerfassung der in Deutschland durchgeführten PCR-Tests auf SARS-CoV-2 zum jetzigen Zeitpunkt nicht vorliegt. Die hier veröffentlichten Daten liefern daher Hinweise zur aktuellen Situation in den Laboren, erlauben aber keine detaillierten oder regionalen Auswertungen sowie Vergleiche mit den gemeldeten Fallzahlen.</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b/>
          <w:lang w:val="de-DE"/>
        </w:rPr>
        <w:t>Bewertung:</w:t>
      </w:r>
      <w:r>
        <w:rPr>
          <w:rFonts w:ascii="Scala Sans OT" w:hAnsi="Scala Sans OT"/>
          <w:lang w:val="de-DE"/>
        </w:rPr>
        <w:t xml:space="preserve"> Seit Beginn der Testungen in Deutschland bis einschließlich KW 52/2020 wurden bisher 34.801.593 PCR-Labortests erfasst, davon wurden 1.750.584 positiv auf SARS-CoV-2 getestet. In KW 52 wurden im Vergleich zu den Vorwochen deutlich weniger PCR-Tests durchgeführt. Es ist zu vermuten, dass dies einerseits mit der Schließung vieler Arztpraxen, andererseits auch mit einer geringeren Frequenz von Arztbesuchen in den Feiertagswochen zu begründen ist. Daher ist auch anzunehmen, dass im Vergleich zu den Vorwochen eine geringere Anzahl von Personen mit leichter bis mittelschwere Symptomatik und lediglich Personen mit deutlicher Symptomatik, während der Feiertage einen Arzt aufgesucht haben. Es ist anzunehmen, dass sich dies in den geringeren Testzahlen und in der erhöhten Positivquote widerspiegelt.</w:t>
      </w:r>
    </w:p>
    <w:p>
      <w:pPr>
        <w:pStyle w:val="NurText"/>
        <w:rPr>
          <w:rFonts w:ascii="Scala Sans OT" w:hAnsi="Scala Sans OT"/>
          <w:lang w:val="de-DE"/>
        </w:rPr>
      </w:pPr>
    </w:p>
    <w:tbl>
      <w:tblPr>
        <w:tblW w:w="9620" w:type="dxa"/>
        <w:tblCellMar>
          <w:left w:w="70" w:type="dxa"/>
          <w:right w:w="70" w:type="dxa"/>
        </w:tblCellMar>
        <w:tblLook w:val="04A0" w:firstRow="1" w:lastRow="0" w:firstColumn="1" w:lastColumn="0" w:noHBand="0" w:noVBand="1"/>
      </w:tblPr>
      <w:tblGrid>
        <w:gridCol w:w="2500"/>
        <w:gridCol w:w="1200"/>
        <w:gridCol w:w="2520"/>
        <w:gridCol w:w="1140"/>
        <w:gridCol w:w="2260"/>
      </w:tblGrid>
      <w:tr>
        <w:trPr>
          <w:trHeight w:val="600"/>
        </w:trPr>
        <w:tc>
          <w:tcPr>
            <w:tcW w:w="2500"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Kalenderwoche 2020</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Anzahl Testungen</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Positiv getestet</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Positiven-quote (%)</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Anzahl übermittelnde Labore</w:t>
            </w:r>
          </w:p>
        </w:tc>
      </w:tr>
      <w:tr>
        <w:trPr>
          <w:trHeight w:val="600"/>
        </w:trPr>
        <w:tc>
          <w:tcPr>
            <w:tcW w:w="2500" w:type="dxa"/>
            <w:tcBorders>
              <w:top w:val="nil"/>
              <w:left w:val="single" w:sz="4" w:space="0" w:color="auto"/>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Bis einschließlich KW42</w:t>
            </w:r>
          </w:p>
        </w:tc>
        <w:tc>
          <w:tcPr>
            <w:tcW w:w="1200" w:type="dxa"/>
            <w:tcBorders>
              <w:top w:val="nil"/>
              <w:left w:val="nil"/>
              <w:bottom w:val="nil"/>
              <w:right w:val="nil"/>
            </w:tcBorders>
            <w:shd w:val="clear" w:color="auto" w:fill="auto"/>
            <w:noWrap/>
            <w:vAlign w:val="bottom"/>
            <w:hideMark/>
          </w:tcPr>
          <w:p>
            <w:pPr>
              <w:spacing w:line="240" w:lineRule="auto"/>
              <w:jc w:val="right"/>
              <w:rPr>
                <w:rFonts w:ascii="Scala Sans OT" w:eastAsia="Times New Roman" w:hAnsi="Scala Sans OT" w:cs="Calibri"/>
                <w:color w:val="000000"/>
              </w:rPr>
            </w:pPr>
            <w:r>
              <w:rPr>
                <w:rFonts w:ascii="Scala Sans OT" w:eastAsia="Times New Roman" w:hAnsi="Scala Sans OT" w:cs="Calibri"/>
                <w:color w:val="000000"/>
              </w:rPr>
              <w:t>20.438.657</w:t>
            </w:r>
          </w:p>
        </w:tc>
        <w:tc>
          <w:tcPr>
            <w:tcW w:w="252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421.401</w:t>
            </w:r>
          </w:p>
        </w:tc>
        <w:tc>
          <w:tcPr>
            <w:tcW w:w="1140" w:type="dxa"/>
            <w:tcBorders>
              <w:top w:val="nil"/>
              <w:left w:val="nil"/>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 </w:t>
            </w:r>
          </w:p>
        </w:tc>
        <w:tc>
          <w:tcPr>
            <w:tcW w:w="2260" w:type="dxa"/>
            <w:tcBorders>
              <w:top w:val="nil"/>
              <w:left w:val="nil"/>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 </w:t>
            </w:r>
          </w:p>
        </w:tc>
      </w:tr>
      <w:tr>
        <w:trPr>
          <w:trHeight w:val="290"/>
        </w:trPr>
        <w:tc>
          <w:tcPr>
            <w:tcW w:w="2500" w:type="dxa"/>
            <w:tcBorders>
              <w:top w:val="nil"/>
              <w:left w:val="single" w:sz="4" w:space="0" w:color="auto"/>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43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1.418.726</w:t>
            </w:r>
          </w:p>
        </w:tc>
        <w:tc>
          <w:tcPr>
            <w:tcW w:w="252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78.106</w:t>
            </w:r>
          </w:p>
        </w:tc>
        <w:tc>
          <w:tcPr>
            <w:tcW w:w="1140" w:type="dxa"/>
            <w:tcBorders>
              <w:top w:val="nil"/>
              <w:left w:val="nil"/>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5,51</w:t>
            </w:r>
          </w:p>
        </w:tc>
        <w:tc>
          <w:tcPr>
            <w:tcW w:w="226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204</w:t>
            </w:r>
          </w:p>
        </w:tc>
      </w:tr>
      <w:tr>
        <w:trPr>
          <w:trHeight w:val="290"/>
        </w:trPr>
        <w:tc>
          <w:tcPr>
            <w:tcW w:w="2500" w:type="dxa"/>
            <w:tcBorders>
              <w:top w:val="nil"/>
              <w:left w:val="single" w:sz="4" w:space="0" w:color="auto"/>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44</w:t>
            </w:r>
          </w:p>
        </w:tc>
        <w:tc>
          <w:tcPr>
            <w:tcW w:w="120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1.631.343</w:t>
            </w:r>
          </w:p>
        </w:tc>
        <w:tc>
          <w:tcPr>
            <w:tcW w:w="252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116.673</w:t>
            </w:r>
          </w:p>
        </w:tc>
        <w:tc>
          <w:tcPr>
            <w:tcW w:w="1140" w:type="dxa"/>
            <w:tcBorders>
              <w:top w:val="nil"/>
              <w:left w:val="nil"/>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7,15</w:t>
            </w:r>
          </w:p>
        </w:tc>
        <w:tc>
          <w:tcPr>
            <w:tcW w:w="226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204</w:t>
            </w:r>
          </w:p>
        </w:tc>
      </w:tr>
      <w:tr>
        <w:trPr>
          <w:trHeight w:val="290"/>
        </w:trPr>
        <w:tc>
          <w:tcPr>
            <w:tcW w:w="2500" w:type="dxa"/>
            <w:tcBorders>
              <w:top w:val="nil"/>
              <w:left w:val="single" w:sz="4" w:space="0" w:color="auto"/>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45</w:t>
            </w:r>
          </w:p>
        </w:tc>
        <w:tc>
          <w:tcPr>
            <w:tcW w:w="120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1.608.125</w:t>
            </w:r>
          </w:p>
        </w:tc>
        <w:tc>
          <w:tcPr>
            <w:tcW w:w="252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126.141</w:t>
            </w:r>
          </w:p>
        </w:tc>
        <w:tc>
          <w:tcPr>
            <w:tcW w:w="1140" w:type="dxa"/>
            <w:tcBorders>
              <w:top w:val="nil"/>
              <w:left w:val="nil"/>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7,84</w:t>
            </w:r>
          </w:p>
        </w:tc>
        <w:tc>
          <w:tcPr>
            <w:tcW w:w="226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203</w:t>
            </w:r>
          </w:p>
        </w:tc>
      </w:tr>
      <w:tr>
        <w:trPr>
          <w:trHeight w:val="290"/>
        </w:trPr>
        <w:tc>
          <w:tcPr>
            <w:tcW w:w="2500" w:type="dxa"/>
            <w:tcBorders>
              <w:top w:val="nil"/>
              <w:left w:val="single" w:sz="4" w:space="0" w:color="auto"/>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46*</w:t>
            </w:r>
          </w:p>
        </w:tc>
        <w:tc>
          <w:tcPr>
            <w:tcW w:w="120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1.422.301</w:t>
            </w:r>
          </w:p>
        </w:tc>
        <w:tc>
          <w:tcPr>
            <w:tcW w:w="252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126.181</w:t>
            </w:r>
          </w:p>
        </w:tc>
        <w:tc>
          <w:tcPr>
            <w:tcW w:w="1140" w:type="dxa"/>
            <w:tcBorders>
              <w:top w:val="nil"/>
              <w:left w:val="nil"/>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8,87</w:t>
            </w:r>
          </w:p>
        </w:tc>
        <w:tc>
          <w:tcPr>
            <w:tcW w:w="226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201</w:t>
            </w:r>
          </w:p>
        </w:tc>
      </w:tr>
      <w:tr>
        <w:trPr>
          <w:trHeight w:val="290"/>
        </w:trPr>
        <w:tc>
          <w:tcPr>
            <w:tcW w:w="2500" w:type="dxa"/>
            <w:tcBorders>
              <w:top w:val="nil"/>
              <w:left w:val="single" w:sz="4" w:space="0" w:color="auto"/>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47*</w:t>
            </w:r>
          </w:p>
        </w:tc>
        <w:tc>
          <w:tcPr>
            <w:tcW w:w="120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1.394.255</w:t>
            </w:r>
          </w:p>
        </w:tc>
        <w:tc>
          <w:tcPr>
            <w:tcW w:w="252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128.668</w:t>
            </w:r>
          </w:p>
        </w:tc>
        <w:tc>
          <w:tcPr>
            <w:tcW w:w="1140" w:type="dxa"/>
            <w:tcBorders>
              <w:top w:val="nil"/>
              <w:left w:val="nil"/>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9,23</w:t>
            </w:r>
          </w:p>
        </w:tc>
        <w:tc>
          <w:tcPr>
            <w:tcW w:w="226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201</w:t>
            </w:r>
          </w:p>
        </w:tc>
      </w:tr>
      <w:tr>
        <w:trPr>
          <w:trHeight w:val="290"/>
        </w:trPr>
        <w:tc>
          <w:tcPr>
            <w:tcW w:w="2500" w:type="dxa"/>
            <w:tcBorders>
              <w:top w:val="nil"/>
              <w:left w:val="single" w:sz="4" w:space="0" w:color="auto"/>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48*</w:t>
            </w:r>
          </w:p>
        </w:tc>
        <w:tc>
          <w:tcPr>
            <w:tcW w:w="120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1.379.859</w:t>
            </w:r>
          </w:p>
        </w:tc>
        <w:tc>
          <w:tcPr>
            <w:tcW w:w="252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126.140</w:t>
            </w:r>
          </w:p>
        </w:tc>
        <w:tc>
          <w:tcPr>
            <w:tcW w:w="1140" w:type="dxa"/>
            <w:tcBorders>
              <w:top w:val="nil"/>
              <w:left w:val="nil"/>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9,14</w:t>
            </w:r>
          </w:p>
        </w:tc>
        <w:tc>
          <w:tcPr>
            <w:tcW w:w="226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205</w:t>
            </w:r>
          </w:p>
        </w:tc>
      </w:tr>
      <w:tr>
        <w:trPr>
          <w:trHeight w:val="290"/>
        </w:trPr>
        <w:tc>
          <w:tcPr>
            <w:tcW w:w="2500" w:type="dxa"/>
            <w:tcBorders>
              <w:top w:val="nil"/>
              <w:left w:val="single" w:sz="4" w:space="0" w:color="auto"/>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49*</w:t>
            </w:r>
          </w:p>
        </w:tc>
        <w:tc>
          <w:tcPr>
            <w:tcW w:w="120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1.347.625</w:t>
            </w:r>
          </w:p>
        </w:tc>
        <w:tc>
          <w:tcPr>
            <w:tcW w:w="252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135.136</w:t>
            </w:r>
          </w:p>
        </w:tc>
        <w:tc>
          <w:tcPr>
            <w:tcW w:w="1140" w:type="dxa"/>
            <w:tcBorders>
              <w:top w:val="nil"/>
              <w:left w:val="nil"/>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10,03</w:t>
            </w:r>
          </w:p>
        </w:tc>
        <w:tc>
          <w:tcPr>
            <w:tcW w:w="226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204</w:t>
            </w:r>
          </w:p>
        </w:tc>
      </w:tr>
      <w:tr>
        <w:trPr>
          <w:trHeight w:val="290"/>
        </w:trPr>
        <w:tc>
          <w:tcPr>
            <w:tcW w:w="2500" w:type="dxa"/>
            <w:tcBorders>
              <w:top w:val="nil"/>
              <w:left w:val="single" w:sz="4" w:space="0" w:color="auto"/>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50*</w:t>
            </w:r>
          </w:p>
        </w:tc>
        <w:tc>
          <w:tcPr>
            <w:tcW w:w="120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1.504.313</w:t>
            </w:r>
          </w:p>
        </w:tc>
        <w:tc>
          <w:tcPr>
            <w:tcW w:w="252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170.200</w:t>
            </w:r>
          </w:p>
        </w:tc>
        <w:tc>
          <w:tcPr>
            <w:tcW w:w="1140" w:type="dxa"/>
            <w:tcBorders>
              <w:top w:val="nil"/>
              <w:left w:val="nil"/>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11,31</w:t>
            </w:r>
          </w:p>
        </w:tc>
        <w:tc>
          <w:tcPr>
            <w:tcW w:w="226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201</w:t>
            </w:r>
          </w:p>
        </w:tc>
      </w:tr>
      <w:tr>
        <w:trPr>
          <w:trHeight w:val="290"/>
        </w:trPr>
        <w:tc>
          <w:tcPr>
            <w:tcW w:w="2500" w:type="dxa"/>
            <w:tcBorders>
              <w:top w:val="nil"/>
              <w:left w:val="single" w:sz="4" w:space="0" w:color="auto"/>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51*</w:t>
            </w:r>
          </w:p>
        </w:tc>
        <w:tc>
          <w:tcPr>
            <w:tcW w:w="120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1.599.120</w:t>
            </w:r>
          </w:p>
        </w:tc>
        <w:tc>
          <w:tcPr>
            <w:tcW w:w="252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184.940</w:t>
            </w:r>
          </w:p>
        </w:tc>
        <w:tc>
          <w:tcPr>
            <w:tcW w:w="1140" w:type="dxa"/>
            <w:tcBorders>
              <w:top w:val="nil"/>
              <w:left w:val="nil"/>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11,57</w:t>
            </w:r>
          </w:p>
        </w:tc>
        <w:tc>
          <w:tcPr>
            <w:tcW w:w="226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202</w:t>
            </w:r>
          </w:p>
        </w:tc>
      </w:tr>
      <w:tr>
        <w:trPr>
          <w:trHeight w:val="290"/>
        </w:trPr>
        <w:tc>
          <w:tcPr>
            <w:tcW w:w="2500" w:type="dxa"/>
            <w:tcBorders>
              <w:top w:val="nil"/>
              <w:left w:val="single" w:sz="4" w:space="0" w:color="auto"/>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52*</w:t>
            </w:r>
          </w:p>
        </w:tc>
        <w:tc>
          <w:tcPr>
            <w:tcW w:w="120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1.057.269</w:t>
            </w:r>
          </w:p>
        </w:tc>
        <w:tc>
          <w:tcPr>
            <w:tcW w:w="252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136.998</w:t>
            </w:r>
          </w:p>
        </w:tc>
        <w:tc>
          <w:tcPr>
            <w:tcW w:w="1140" w:type="dxa"/>
            <w:tcBorders>
              <w:top w:val="nil"/>
              <w:left w:val="nil"/>
              <w:bottom w:val="single" w:sz="4" w:space="0" w:color="auto"/>
              <w:right w:val="single" w:sz="4" w:space="0" w:color="auto"/>
            </w:tcBorders>
            <w:shd w:val="clear" w:color="auto" w:fill="auto"/>
            <w:vAlign w:val="center"/>
            <w:hideMark/>
          </w:tcPr>
          <w:p>
            <w:pPr>
              <w:spacing w:line="240" w:lineRule="auto"/>
              <w:jc w:val="center"/>
              <w:rPr>
                <w:rFonts w:ascii="Scala Sans OT" w:eastAsia="Times New Roman" w:hAnsi="Scala Sans OT" w:cs="Calibri"/>
              </w:rPr>
            </w:pPr>
            <w:r>
              <w:rPr>
                <w:rFonts w:ascii="Scala Sans OT" w:eastAsia="Times New Roman" w:hAnsi="Scala Sans OT" w:cs="Calibri"/>
              </w:rPr>
              <w:t>12,96</w:t>
            </w:r>
          </w:p>
        </w:tc>
        <w:tc>
          <w:tcPr>
            <w:tcW w:w="226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188</w:t>
            </w:r>
          </w:p>
        </w:tc>
      </w:tr>
      <w:tr>
        <w:trPr>
          <w:trHeight w:val="29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b/>
                <w:bCs/>
                <w:color w:val="000000"/>
              </w:rPr>
            </w:pPr>
            <w:r>
              <w:rPr>
                <w:rFonts w:ascii="Scala Sans OT" w:eastAsia="Times New Roman" w:hAnsi="Scala Sans OT" w:cs="Calibri"/>
                <w:b/>
                <w:bCs/>
                <w:color w:val="000000"/>
              </w:rPr>
              <w:t>Summe</w:t>
            </w:r>
          </w:p>
        </w:tc>
        <w:tc>
          <w:tcPr>
            <w:tcW w:w="120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b/>
                <w:bCs/>
                <w:color w:val="000000"/>
              </w:rPr>
            </w:pPr>
            <w:r>
              <w:rPr>
                <w:rFonts w:ascii="Scala Sans OT" w:eastAsia="Times New Roman" w:hAnsi="Scala Sans OT" w:cs="Calibri"/>
                <w:b/>
                <w:bCs/>
                <w:color w:val="000000"/>
              </w:rPr>
              <w:t>34.801.593</w:t>
            </w:r>
          </w:p>
        </w:tc>
        <w:tc>
          <w:tcPr>
            <w:tcW w:w="2520" w:type="dxa"/>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b/>
                <w:bCs/>
                <w:color w:val="000000"/>
              </w:rPr>
            </w:pPr>
            <w:r>
              <w:rPr>
                <w:rFonts w:ascii="Scala Sans OT" w:eastAsia="Times New Roman" w:hAnsi="Scala Sans OT" w:cs="Calibri"/>
                <w:b/>
                <w:bCs/>
                <w:color w:val="000000"/>
              </w:rPr>
              <w:t>1.750.584</w:t>
            </w:r>
          </w:p>
        </w:tc>
        <w:tc>
          <w:tcPr>
            <w:tcW w:w="3400" w:type="dxa"/>
            <w:gridSpan w:val="2"/>
            <w:tcBorders>
              <w:top w:val="nil"/>
              <w:left w:val="nil"/>
              <w:bottom w:val="single" w:sz="4" w:space="0" w:color="auto"/>
              <w:right w:val="single" w:sz="4" w:space="0" w:color="auto"/>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 </w:t>
            </w:r>
          </w:p>
        </w:tc>
      </w:tr>
      <w:tr>
        <w:trPr>
          <w:trHeight w:val="290"/>
        </w:trPr>
        <w:tc>
          <w:tcPr>
            <w:tcW w:w="9620" w:type="dxa"/>
            <w:gridSpan w:val="5"/>
            <w:tcBorders>
              <w:top w:val="single" w:sz="4" w:space="0" w:color="auto"/>
              <w:left w:val="nil"/>
              <w:bottom w:val="nil"/>
              <w:right w:val="nil"/>
            </w:tcBorders>
            <w:shd w:val="clear" w:color="auto" w:fill="auto"/>
            <w:noWrap/>
            <w:vAlign w:val="bottom"/>
            <w:hideMark/>
          </w:tcPr>
          <w:p>
            <w:pPr>
              <w:spacing w:line="240" w:lineRule="auto"/>
              <w:jc w:val="center"/>
              <w:rPr>
                <w:rFonts w:ascii="Scala Sans OT" w:eastAsia="Times New Roman" w:hAnsi="Scala Sans OT" w:cs="Calibri"/>
                <w:color w:val="000000"/>
              </w:rPr>
            </w:pPr>
            <w:r>
              <w:rPr>
                <w:rFonts w:ascii="Scala Sans OT" w:eastAsia="Times New Roman" w:hAnsi="Scala Sans OT" w:cs="Calibri"/>
                <w:color w:val="000000"/>
              </w:rPr>
              <w:t>*Ab 03. November 2020 geänderte Testkriterien, Daten nicht direkt mit Vorwochen vergleichbar</w:t>
            </w:r>
          </w:p>
        </w:tc>
      </w:tr>
    </w:tbl>
    <w:p>
      <w:pPr>
        <w:pStyle w:val="NurText"/>
        <w:rPr>
          <w:rFonts w:ascii="Scala Sans OT" w:hAnsi="Scala Sans OT"/>
          <w:lang w:val="de-DE"/>
        </w:rPr>
      </w:pPr>
    </w:p>
    <w:p>
      <w:pPr>
        <w:rPr>
          <w:rFonts w:ascii="Scala Sans OT" w:hAnsi="Scala Sans OT"/>
          <w:szCs w:val="21"/>
        </w:rPr>
      </w:pPr>
      <w:r>
        <w:rPr>
          <w:rFonts w:ascii="Scala Sans OT" w:hAnsi="Scala Sans OT"/>
        </w:rPr>
        <w:br w:type="page"/>
      </w:r>
    </w:p>
    <w:p>
      <w:pPr>
        <w:pStyle w:val="NurText"/>
        <w:rPr>
          <w:rFonts w:ascii="Scala Sans OT" w:hAnsi="Scala Sans OT"/>
          <w:lang w:val="de-DE"/>
        </w:rPr>
      </w:pPr>
    </w:p>
    <w:p>
      <w:pPr>
        <w:pStyle w:val="NurText"/>
        <w:numPr>
          <w:ilvl w:val="1"/>
          <w:numId w:val="1"/>
        </w:numPr>
        <w:rPr>
          <w:rFonts w:ascii="Scala Sans OT" w:hAnsi="Scala Sans OT"/>
          <w:b/>
          <w:lang w:val="de-DE"/>
        </w:rPr>
      </w:pPr>
      <w:r>
        <w:rPr>
          <w:rFonts w:ascii="Scala Sans OT" w:hAnsi="Scala Sans OT"/>
          <w:b/>
          <w:lang w:val="de-DE"/>
        </w:rPr>
        <w:t>COVID-ARS</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b/>
          <w:lang w:val="de-DE"/>
        </w:rPr>
        <w:t xml:space="preserve">Datenlage/Informationen zur Methodik: </w:t>
      </w:r>
      <w:r>
        <w:rPr>
          <w:rFonts w:ascii="Scala Sans OT" w:hAnsi="Scala Sans OT"/>
          <w:lang w:val="de-DE"/>
        </w:rPr>
        <w:t>Zur zeitnahen Beurteilung der epidemiologischen Lage und Erfassung des Testverhaltens im ambulanten und stationären Sektor in Deutschland konnte durch Adaptation der Antibiotika-Resistenz-Surveillance (ARS) ein bestehendes Systems zur elektronischen Übermittlung diagnostischer Befunde vom Labor an das RKI eine laborbasierte Surveillance von SARS-CoV-2 implementiert werden.</w:t>
      </w:r>
    </w:p>
    <w:p>
      <w:pPr>
        <w:pStyle w:val="NurText"/>
        <w:rPr>
          <w:rFonts w:ascii="Scala Sans OT" w:hAnsi="Scala Sans OT"/>
          <w:lang w:val="de-DE"/>
        </w:rPr>
      </w:pPr>
      <w:r>
        <w:rPr>
          <w:rFonts w:ascii="Scala Sans OT" w:hAnsi="Scala Sans OT"/>
          <w:lang w:val="de-DE"/>
        </w:rPr>
        <w:t>Mit dem Datenstand vom 02.02.2021 gab es in den vergangenen</w:t>
      </w:r>
      <w:r>
        <w:rPr>
          <w:rFonts w:ascii="Scala Sans OT" w:hAnsi="Scala Sans OT"/>
          <w:b/>
          <w:lang w:val="de-DE"/>
        </w:rPr>
        <w:t xml:space="preserve"> 12</w:t>
      </w:r>
      <w:r>
        <w:rPr>
          <w:rFonts w:ascii="Scala Sans OT" w:hAnsi="Scala Sans OT"/>
          <w:lang w:val="de-DE"/>
        </w:rPr>
        <w:t xml:space="preserve"> Kalenderwochen (</w:t>
      </w:r>
      <w:r>
        <w:rPr>
          <w:rFonts w:ascii="Scala Sans OT" w:hAnsi="Scala Sans OT"/>
          <w:b/>
          <w:lang w:val="de-DE"/>
        </w:rPr>
        <w:t>KW41-KW52</w:t>
      </w:r>
      <w:r>
        <w:rPr>
          <w:rFonts w:ascii="Scala Sans OT" w:hAnsi="Scala Sans OT"/>
          <w:lang w:val="de-DE"/>
        </w:rPr>
        <w:t xml:space="preserve">) </w:t>
      </w:r>
      <w:r>
        <w:rPr>
          <w:rFonts w:ascii="Scala Sans OT" w:hAnsi="Scala Sans OT"/>
          <w:b/>
          <w:lang w:val="de-DE"/>
        </w:rPr>
        <w:t>6.676.661</w:t>
      </w:r>
      <w:r>
        <w:rPr>
          <w:rFonts w:ascii="Scala Sans OT" w:hAnsi="Scala Sans OT"/>
          <w:lang w:val="de-DE"/>
        </w:rPr>
        <w:t xml:space="preserve"> PCR-Testungen (übermittelt von insgesamt</w:t>
      </w:r>
      <w:r>
        <w:rPr>
          <w:rFonts w:ascii="Scala Sans OT" w:hAnsi="Scala Sans OT"/>
          <w:b/>
          <w:lang w:val="de-DE"/>
        </w:rPr>
        <w:t xml:space="preserve"> 72</w:t>
      </w:r>
      <w:r>
        <w:rPr>
          <w:rFonts w:ascii="Scala Sans OT" w:hAnsi="Scala Sans OT"/>
          <w:lang w:val="de-DE"/>
        </w:rPr>
        <w:t xml:space="preserve"> teilnehmenden Laboren). Hiervon waren </w:t>
      </w:r>
      <w:r>
        <w:rPr>
          <w:rFonts w:ascii="Scala Sans OT" w:hAnsi="Scala Sans OT"/>
          <w:b/>
          <w:lang w:val="de-DE"/>
        </w:rPr>
        <w:t>557.006 (8.3%)</w:t>
      </w:r>
      <w:r>
        <w:rPr>
          <w:rFonts w:ascii="Scala Sans OT" w:hAnsi="Scala Sans OT"/>
          <w:lang w:val="de-DE"/>
        </w:rPr>
        <w:t xml:space="preserve"> positiv. </w:t>
      </w:r>
    </w:p>
    <w:p>
      <w:pPr>
        <w:spacing w:line="240" w:lineRule="auto"/>
        <w:ind w:left="0"/>
        <w:rPr>
          <w:rFonts w:ascii="Scala Sans OT" w:eastAsiaTheme="minorHAnsi" w:hAnsi="Scala Sans OT"/>
          <w:sz w:val="22"/>
          <w:szCs w:val="21"/>
          <w:lang w:eastAsia="en-US"/>
        </w:rPr>
      </w:pPr>
      <w:r>
        <w:rPr>
          <w:rFonts w:ascii="Scala Sans OT" w:eastAsiaTheme="minorHAnsi" w:hAnsi="Scala Sans OT"/>
          <w:sz w:val="22"/>
          <w:szCs w:val="21"/>
          <w:lang w:eastAsia="en-US"/>
        </w:rPr>
        <w:t xml:space="preserve">Datenstand 02.01.2020: Zwischen der 51. und 52. Kalenderwoche ist ein deutlicher Rückgang an durchgeführten Testungen zu beobachten gewesen. In KW 51 wurden von den teilnehmenden Laboren 666.400 Testungen übermittelt, in KW 52 404.300, was einem Rückgang um annährend 40% entspricht. Insbesondere in Arztpraxen wurde in diesem Zeitraum weniger getestet (Rückgang Testungen um 47%). Dabei stiegen gleichzeitig die Anteile der positiven Testergebnisse: </w:t>
      </w:r>
      <w:proofErr w:type="spellStart"/>
      <w:r>
        <w:rPr>
          <w:rFonts w:ascii="Scala Sans OT" w:eastAsiaTheme="minorHAnsi" w:hAnsi="Scala Sans OT"/>
          <w:sz w:val="22"/>
          <w:szCs w:val="21"/>
          <w:lang w:eastAsia="en-US"/>
        </w:rPr>
        <w:t>Positivenanteil</w:t>
      </w:r>
      <w:proofErr w:type="spellEnd"/>
      <w:r>
        <w:rPr>
          <w:rFonts w:ascii="Scala Sans OT" w:eastAsiaTheme="minorHAnsi" w:hAnsi="Scala Sans OT"/>
          <w:sz w:val="22"/>
          <w:szCs w:val="21"/>
          <w:lang w:eastAsia="en-US"/>
        </w:rPr>
        <w:t xml:space="preserve"> gesamt KW 51 von 11,4% im Vergleich KW 52 von 13,8%. In der </w:t>
      </w:r>
      <w:proofErr w:type="spellStart"/>
      <w:r>
        <w:rPr>
          <w:rFonts w:ascii="Scala Sans OT" w:eastAsiaTheme="minorHAnsi" w:hAnsi="Scala Sans OT"/>
          <w:sz w:val="22"/>
          <w:szCs w:val="21"/>
          <w:lang w:eastAsia="en-US"/>
        </w:rPr>
        <w:t>Altersstratifizierung</w:t>
      </w:r>
      <w:proofErr w:type="spellEnd"/>
      <w:r>
        <w:rPr>
          <w:rFonts w:ascii="Scala Sans OT" w:eastAsiaTheme="minorHAnsi" w:hAnsi="Scala Sans OT"/>
          <w:sz w:val="22"/>
          <w:szCs w:val="21"/>
          <w:lang w:eastAsia="en-US"/>
        </w:rPr>
        <w:t xml:space="preserve"> zeigt sich, dass am meisten Testungen pro 100.000 Personen in der Altersgruppe der ab 80-Jährigen erfasst wurden, am wenigsten in der Gruppe der 0-4-Jährigen (Abbildung 1). Der Rückgang der Anzahl der Testungen betrug zwischen KW 51 und KW 52 in der Altersgruppe der über 80-Jährigen 28% in der Gruppe der 0-4-Jährigen 43%. Dabei stiegen die Testpositiven-Anteile in der Altersgruppe der über 80-Jährigen in KW 52 auf 22,3% (KW 51: 19,4%). In der Altersgruppe der 0-4-Jährigen stiegen die </w:t>
      </w:r>
      <w:proofErr w:type="spellStart"/>
      <w:r>
        <w:rPr>
          <w:rFonts w:ascii="Scala Sans OT" w:eastAsiaTheme="minorHAnsi" w:hAnsi="Scala Sans OT"/>
          <w:sz w:val="22"/>
          <w:szCs w:val="21"/>
          <w:lang w:eastAsia="en-US"/>
        </w:rPr>
        <w:t>Positivenanteile</w:t>
      </w:r>
      <w:proofErr w:type="spellEnd"/>
      <w:r>
        <w:rPr>
          <w:rFonts w:ascii="Scala Sans OT" w:eastAsiaTheme="minorHAnsi" w:hAnsi="Scala Sans OT"/>
          <w:sz w:val="22"/>
          <w:szCs w:val="21"/>
          <w:lang w:eastAsia="en-US"/>
        </w:rPr>
        <w:t xml:space="preserve"> lediglich um 0,5% auf 6,5% in KW52. </w:t>
      </w:r>
    </w:p>
    <w:p>
      <w:pPr>
        <w:keepNext/>
        <w:spacing w:before="180" w:after="180"/>
        <w:rPr>
          <w:rFonts w:ascii="Scala Sans OT" w:hAnsi="Scala Sans OT"/>
        </w:rPr>
      </w:pPr>
      <w:r>
        <w:rPr>
          <w:rFonts w:ascii="Scala Sans OT" w:hAnsi="Scala Sans OT"/>
          <w:noProof/>
        </w:rPr>
        <w:drawing>
          <wp:inline distT="0" distB="0" distL="0" distR="0">
            <wp:extent cx="5842000" cy="3245555"/>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0" name="Picture" descr="S:/Wissdaten/FG37_SARS-COV_2/fig_temp/unnamed-chunk-19-1.png"/>
                    <pic:cNvPicPr>
                      <a:picLocks noChangeAspect="1" noChangeArrowheads="1"/>
                    </pic:cNvPicPr>
                  </pic:nvPicPr>
                  <pic:blipFill>
                    <a:blip r:embed="rId11"/>
                    <a:stretch>
                      <a:fillRect/>
                    </a:stretch>
                  </pic:blipFill>
                  <pic:spPr bwMode="auto">
                    <a:xfrm>
                      <a:off x="0" y="0"/>
                      <a:ext cx="5842000" cy="3245555"/>
                    </a:xfrm>
                    <a:prstGeom prst="rect">
                      <a:avLst/>
                    </a:prstGeom>
                    <a:noFill/>
                    <a:ln w="9525">
                      <a:noFill/>
                      <a:headEnd/>
                      <a:tailEnd/>
                    </a:ln>
                  </pic:spPr>
                </pic:pic>
              </a:graphicData>
            </a:graphic>
          </wp:inline>
        </w:drawing>
      </w:r>
    </w:p>
    <w:p>
      <w:pPr>
        <w:pStyle w:val="Beschriftung"/>
        <w:rPr>
          <w:rFonts w:ascii="Scala Sans OT" w:hAnsi="Scala Sans OT"/>
          <w:i w:val="0"/>
          <w:iCs w:val="0"/>
          <w:lang w:val="de-DE"/>
        </w:rPr>
      </w:pPr>
      <w:r>
        <w:rPr>
          <w:rFonts w:ascii="Scala Sans OT" w:hAnsi="Scala Sans OT"/>
          <w:lang w:val="de-DE"/>
        </w:rPr>
        <w:t xml:space="preserve">Abbildung </w:t>
      </w:r>
      <w:r>
        <w:rPr>
          <w:rFonts w:ascii="Scala Sans OT" w:hAnsi="Scala Sans OT"/>
        </w:rPr>
        <w:fldChar w:fldCharType="begin"/>
      </w:r>
      <w:r>
        <w:rPr>
          <w:rFonts w:ascii="Scala Sans OT" w:hAnsi="Scala Sans OT"/>
          <w:lang w:val="de-DE"/>
        </w:rPr>
        <w:instrText xml:space="preserve"> SEQ Abbildung \* ARABIC </w:instrText>
      </w:r>
      <w:r>
        <w:rPr>
          <w:rFonts w:ascii="Scala Sans OT" w:hAnsi="Scala Sans OT"/>
        </w:rPr>
        <w:fldChar w:fldCharType="separate"/>
      </w:r>
      <w:r>
        <w:rPr>
          <w:rFonts w:ascii="Scala Sans OT" w:hAnsi="Scala Sans OT"/>
          <w:noProof/>
          <w:lang w:val="de-DE"/>
        </w:rPr>
        <w:t>3</w:t>
      </w:r>
      <w:r>
        <w:rPr>
          <w:rFonts w:ascii="Scala Sans OT" w:hAnsi="Scala Sans OT"/>
        </w:rPr>
        <w:fldChar w:fldCharType="end"/>
      </w:r>
      <w:r>
        <w:rPr>
          <w:rFonts w:ascii="Scala Sans OT" w:hAnsi="Scala Sans OT"/>
          <w:lang w:val="de-DE"/>
        </w:rPr>
        <w:t>: Anzahl der Personen mit SARS-CoV-2-PCR-Testung pro 100.000 Einwohner nach Altersgruppe und Kalenderwoche (</w:t>
      </w:r>
      <w:r>
        <w:rPr>
          <w:rFonts w:ascii="Scala Sans OT" w:hAnsi="Scala Sans OT"/>
          <w:i w:val="0"/>
          <w:iCs w:val="0"/>
          <w:lang w:val="de-DE"/>
        </w:rPr>
        <w:t>laborbasierte Surveillance SARS-CoV-2, KW41-KW52, Datenstand 02.01.2021</w:t>
      </w:r>
      <w:r>
        <w:rPr>
          <w:rFonts w:ascii="Scala Sans OT" w:hAnsi="Scala Sans OT"/>
          <w:i w:val="0"/>
          <w:iCs w:val="0"/>
          <w:lang w:val="de-DE"/>
        </w:rPr>
        <w:t>)</w:t>
      </w:r>
    </w:p>
    <w:p>
      <w:pPr>
        <w:spacing w:before="180" w:after="180" w:line="240" w:lineRule="auto"/>
        <w:ind w:left="0"/>
        <w:rPr>
          <w:rFonts w:ascii="Scala Sans OT" w:eastAsiaTheme="minorHAnsi" w:hAnsi="Scala Sans OT"/>
          <w:sz w:val="22"/>
          <w:szCs w:val="21"/>
          <w:lang w:eastAsia="en-US"/>
        </w:rPr>
      </w:pPr>
      <w:r>
        <w:rPr>
          <w:rFonts w:ascii="Scala Sans OT" w:eastAsiaTheme="minorHAnsi" w:hAnsi="Scala Sans OT"/>
          <w:sz w:val="22"/>
          <w:szCs w:val="21"/>
          <w:lang w:eastAsia="en-US"/>
        </w:rPr>
        <w:t>Bei der Interpretation der Inzidenzen ist zu beachten, dass die Daten keine Vollerfassung darstellen und wahrscheinlich jüngere Altersgruppen etwas schwächer und ältere Altersgruppen etwas stärker repräsentiert sind.</w:t>
      </w:r>
    </w:p>
    <w:p>
      <w:pPr>
        <w:pStyle w:val="NurText"/>
        <w:rPr>
          <w:rFonts w:ascii="Scala Sans OT" w:hAnsi="Scala Sans OT"/>
          <w:b/>
          <w:lang w:val="de-DE"/>
        </w:rPr>
      </w:pPr>
      <w:r>
        <w:rPr>
          <w:rFonts w:ascii="Scala Sans OT" w:hAnsi="Scala Sans OT"/>
          <w:b/>
          <w:lang w:val="de-DE"/>
        </w:rPr>
        <w:t xml:space="preserve">Limitationen: </w:t>
      </w:r>
      <w:r>
        <w:rPr>
          <w:rFonts w:ascii="Scala Sans OT" w:hAnsi="Scala Sans OT"/>
          <w:lang w:val="de-DE"/>
        </w:rPr>
        <w:t xml:space="preserve">Die laborbasierte SARS-CoV-2-Surveillance beruht auf der freiwilligen Teilnahme von Laboren. Es handelt sich damit um Daten aus einer Stichprobe von Laboren, nicht um eine Vollerhebung aller Testungen in Deutschland. </w:t>
      </w:r>
      <w:r>
        <w:rPr>
          <w:rFonts w:ascii="Scala Sans OT" w:hAnsi="Scala Sans OT"/>
          <w:b/>
          <w:lang w:val="de-DE"/>
        </w:rPr>
        <w:t>Zurzeit kann von einer Abdeckung von 30-35% ausgegangen werden.</w:t>
      </w:r>
    </w:p>
    <w:p>
      <w:pPr>
        <w:pStyle w:val="NurText"/>
        <w:rPr>
          <w:rFonts w:ascii="Scala Sans OT" w:hAnsi="Scala Sans OT"/>
          <w:lang w:val="de-DE"/>
        </w:rPr>
      </w:pPr>
      <w:r>
        <w:rPr>
          <w:rFonts w:ascii="Scala Sans OT" w:hAnsi="Scala Sans OT"/>
          <w:lang w:val="de-DE"/>
        </w:rPr>
        <w:t>Repräsentativität: Tendenziell sind Krankenhauslabore gegenüber den niedergelassenen Laboren unterrepräsentiert.</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b/>
          <w:lang w:val="de-DE"/>
        </w:rPr>
        <w:t xml:space="preserve">Bewertung: </w:t>
      </w:r>
      <w:r>
        <w:rPr>
          <w:rFonts w:ascii="Scala Sans OT" w:hAnsi="Scala Sans OT"/>
          <w:lang w:val="de-DE"/>
        </w:rPr>
        <w:t xml:space="preserve">Der deutliche Rückgang der Testungen zwischen KW 51 und KW 52 zeigt, dass während der Feiertage weniger PCR-Testungen durchgeführt wurden. Der sich zwischen den Altersgruppen und den testenden Institutionen (Arztpraxis, Krankenhaus, Andere) unterscheidende Rückgang der Testungen erschwert die Interpretation der Daten. Der Anstieg der </w:t>
      </w:r>
      <w:proofErr w:type="spellStart"/>
      <w:r>
        <w:rPr>
          <w:rFonts w:ascii="Scala Sans OT" w:hAnsi="Scala Sans OT"/>
          <w:lang w:val="de-DE"/>
        </w:rPr>
        <w:t>Positivenanteile</w:t>
      </w:r>
      <w:proofErr w:type="spellEnd"/>
      <w:r>
        <w:rPr>
          <w:rFonts w:ascii="Scala Sans OT" w:hAnsi="Scala Sans OT"/>
          <w:lang w:val="de-DE"/>
        </w:rPr>
        <w:t xml:space="preserve"> lässt sich vermutlich darauf zurückführen, dass die Reduktion der Testungen zu einer Selektion der Getesteten geführt hat: hin zu denjenigen die auf Grund von Symptomen, Kontakt oder vorangegangener positiver Antigentestung mit größerer Wahrscheinlichkeit positiv sein würden (höhere Prätestwahrscheinlichkeit). Bemerkenswert ist, dass die </w:t>
      </w:r>
      <w:proofErr w:type="spellStart"/>
      <w:r>
        <w:rPr>
          <w:rFonts w:ascii="Scala Sans OT" w:hAnsi="Scala Sans OT"/>
          <w:lang w:val="de-DE"/>
        </w:rPr>
        <w:t>Positivenanteile</w:t>
      </w:r>
      <w:proofErr w:type="spellEnd"/>
      <w:r>
        <w:rPr>
          <w:rFonts w:ascii="Scala Sans OT" w:hAnsi="Scala Sans OT"/>
          <w:lang w:val="de-DE"/>
        </w:rPr>
        <w:t xml:space="preserve"> in den jüngeren Altersgruppen, trotz besonders deutlichem Rückgang an Testungen, dabei weniger stark angestiegen sind. Steigende </w:t>
      </w:r>
      <w:proofErr w:type="spellStart"/>
      <w:r>
        <w:rPr>
          <w:rFonts w:ascii="Scala Sans OT" w:hAnsi="Scala Sans OT"/>
          <w:lang w:val="de-DE"/>
        </w:rPr>
        <w:t>Positivenanteile</w:t>
      </w:r>
      <w:proofErr w:type="spellEnd"/>
      <w:r>
        <w:rPr>
          <w:rFonts w:ascii="Scala Sans OT" w:hAnsi="Scala Sans OT"/>
          <w:lang w:val="de-DE"/>
        </w:rPr>
        <w:t xml:space="preserve"> bei gleichzeitigem Rückgang der Anzahl an Testungen sollten, bis zum Beweis des Gegenteils, als Zeichen für eine steigende Untererfassung tatsächlicher SARS-CoV2 Fälle gewertet werden. Dieser Anstieg der Unterfassung wird auf Grund der oben beschriebenen möglichen Selektion der Getesteten aber höchstwahrscheinlich weniger stark sein als durch den Abfall der Testzahlen angenommen werden könnte.  </w:t>
      </w:r>
    </w:p>
    <w:p>
      <w:pPr>
        <w:pStyle w:val="NurText"/>
        <w:rPr>
          <w:rFonts w:ascii="Scala Sans OT" w:hAnsi="Scala Sans OT"/>
          <w:lang w:val="de-DE"/>
        </w:rPr>
      </w:pPr>
    </w:p>
    <w:p>
      <w:pPr>
        <w:pStyle w:val="berschrift2"/>
        <w:numPr>
          <w:ilvl w:val="0"/>
          <w:numId w:val="5"/>
        </w:numPr>
        <w:rPr>
          <w:rFonts w:ascii="Scala Sans OT" w:hAnsi="Scala Sans OT"/>
        </w:rPr>
      </w:pPr>
      <w:bookmarkStart w:id="7" w:name="_Toc60668067"/>
      <w:proofErr w:type="spellStart"/>
      <w:r>
        <w:rPr>
          <w:rFonts w:ascii="Scala Sans OT" w:hAnsi="Scala Sans OT"/>
        </w:rPr>
        <w:t>Syndromische</w:t>
      </w:r>
      <w:proofErr w:type="spellEnd"/>
      <w:r>
        <w:rPr>
          <w:rFonts w:ascii="Scala Sans OT" w:hAnsi="Scala Sans OT"/>
        </w:rPr>
        <w:t xml:space="preserve"> Krankheitsüberwachung</w:t>
      </w:r>
      <w:bookmarkEnd w:id="7"/>
    </w:p>
    <w:p>
      <w:pPr>
        <w:pStyle w:val="NurText"/>
        <w:rPr>
          <w:rFonts w:ascii="Scala Sans OT" w:hAnsi="Scala Sans OT"/>
          <w:lang w:val="de-DE"/>
        </w:rPr>
      </w:pPr>
    </w:p>
    <w:p>
      <w:pPr>
        <w:pStyle w:val="NurText"/>
        <w:numPr>
          <w:ilvl w:val="0"/>
          <w:numId w:val="4"/>
        </w:numPr>
        <w:rPr>
          <w:rFonts w:ascii="Scala Sans OT" w:hAnsi="Scala Sans OT"/>
          <w:b/>
          <w:lang w:val="de-DE"/>
        </w:rPr>
      </w:pPr>
      <w:proofErr w:type="spellStart"/>
      <w:r>
        <w:rPr>
          <w:rFonts w:ascii="Scala Sans OT" w:hAnsi="Scala Sans OT"/>
          <w:b/>
          <w:lang w:val="de-DE"/>
        </w:rPr>
        <w:t>GrippeWeb</w:t>
      </w:r>
      <w:proofErr w:type="spellEnd"/>
      <w:r>
        <w:rPr>
          <w:rFonts w:ascii="Scala Sans OT" w:hAnsi="Scala Sans OT"/>
          <w:b/>
          <w:lang w:val="de-DE"/>
        </w:rPr>
        <w:t>/</w:t>
      </w:r>
      <w:proofErr w:type="spellStart"/>
      <w:r>
        <w:rPr>
          <w:rFonts w:ascii="Scala Sans OT" w:hAnsi="Scala Sans OT"/>
          <w:b/>
          <w:lang w:val="de-DE"/>
        </w:rPr>
        <w:t>GrippeWeb</w:t>
      </w:r>
      <w:proofErr w:type="spellEnd"/>
      <w:r>
        <w:rPr>
          <w:rFonts w:ascii="Scala Sans OT" w:hAnsi="Scala Sans OT"/>
          <w:b/>
          <w:lang w:val="de-DE"/>
        </w:rPr>
        <w:t>-plus</w:t>
      </w:r>
    </w:p>
    <w:p>
      <w:pPr>
        <w:pStyle w:val="NurText"/>
        <w:ind w:left="1440"/>
        <w:rPr>
          <w:rFonts w:ascii="Scala Sans OT" w:hAnsi="Scala Sans OT"/>
          <w:lang w:val="de-DE"/>
        </w:rPr>
      </w:pPr>
    </w:p>
    <w:p>
      <w:pPr>
        <w:pStyle w:val="NurText"/>
        <w:rPr>
          <w:rFonts w:ascii="Scala Sans OT" w:hAnsi="Scala Sans OT"/>
          <w:b/>
          <w:lang w:val="de-DE"/>
        </w:rPr>
      </w:pPr>
      <w:r>
        <w:rPr>
          <w:rFonts w:ascii="Scala Sans OT" w:hAnsi="Scala Sans OT"/>
          <w:b/>
          <w:lang w:val="de-DE"/>
        </w:rPr>
        <w:t xml:space="preserve">Datenlage/Informationen zur Methodik: </w:t>
      </w:r>
    </w:p>
    <w:p>
      <w:pPr>
        <w:pStyle w:val="NurText"/>
        <w:rPr>
          <w:rFonts w:ascii="Scala Sans OT" w:hAnsi="Scala Sans OT"/>
          <w:lang w:val="de-DE"/>
        </w:rPr>
      </w:pPr>
      <w:r>
        <w:rPr>
          <w:rFonts w:ascii="Scala Sans OT" w:hAnsi="Scala Sans OT"/>
          <w:lang w:val="de-DE"/>
        </w:rPr>
        <w:t xml:space="preserve">Methodik: Bevölkerungsbasiertes, online-Befragungssystem, Erinnerungsfunktion per E-Mail, Eingabe auf Webseite, gegenwärtig mehr als 9.000 Meldungen wöchentlich, veröffentlicht wird: akute Atemwegserkrankungen (ARE), grippeähnliche Erkrankungen (ILI), gewichtet für Altersgruppe und Geschlecht, die Bundesländer sind rel. gut repräsentiert. </w:t>
      </w:r>
    </w:p>
    <w:p>
      <w:pPr>
        <w:pStyle w:val="NurText"/>
        <w:rPr>
          <w:rFonts w:ascii="Scala Sans OT" w:hAnsi="Scala Sans OT"/>
          <w:lang w:val="de-DE"/>
        </w:rPr>
      </w:pPr>
      <w:r>
        <w:rPr>
          <w:rFonts w:ascii="Scala Sans OT" w:hAnsi="Scala Sans OT"/>
          <w:lang w:val="de-DE"/>
        </w:rPr>
        <w:t>Datenlage/Informationen: Entwicklung der ARE-Rate: KW50-51-52:  3,4-2,9-2,1%. ILI-Raten genauso. Lockdown-Impact scheint sichtbar, da der Abfall der Raten früher und deutlicher als sonst üblich, obwohl auf niedrigerem Niveau „gestartet“ (sonst ARE-Rate in KW50 ca. 6-7%).</w:t>
      </w:r>
    </w:p>
    <w:p>
      <w:pPr>
        <w:pStyle w:val="NurText"/>
        <w:rPr>
          <w:rFonts w:ascii="Scala Sans OT" w:hAnsi="Scala Sans OT"/>
          <w:lang w:val="de-DE"/>
        </w:rPr>
      </w:pPr>
    </w:p>
    <w:tbl>
      <w:tblPr>
        <w:tblStyle w:val="Tabellenraster"/>
        <w:tblW w:w="9518" w:type="dxa"/>
        <w:tblLook w:val="04A0" w:firstRow="1" w:lastRow="0" w:firstColumn="1" w:lastColumn="0" w:noHBand="0" w:noVBand="1"/>
      </w:tblPr>
      <w:tblGrid>
        <w:gridCol w:w="4755"/>
        <w:gridCol w:w="4763"/>
      </w:tblGrid>
      <w:tr>
        <w:trPr>
          <w:trHeight w:val="3250"/>
        </w:trPr>
        <w:tc>
          <w:tcPr>
            <w:tcW w:w="4755" w:type="dxa"/>
          </w:tcPr>
          <w:p>
            <w:pPr>
              <w:pStyle w:val="NurText"/>
              <w:rPr>
                <w:rFonts w:ascii="Scala Sans OT" w:hAnsi="Scala Sans OT"/>
                <w:lang w:val="de-DE"/>
              </w:rPr>
            </w:pPr>
            <w:r>
              <w:rPr>
                <w:rFonts w:ascii="Scala Sans OT" w:hAnsi="Scala Sans OT"/>
                <w:noProof/>
              </w:rPr>
              <w:drawing>
                <wp:inline distT="0" distB="0" distL="0" distR="0">
                  <wp:extent cx="2605177" cy="1933253"/>
                  <wp:effectExtent l="0" t="0" r="508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17470" cy="1942375"/>
                          </a:xfrm>
                          <a:prstGeom prst="rect">
                            <a:avLst/>
                          </a:prstGeom>
                        </pic:spPr>
                      </pic:pic>
                    </a:graphicData>
                  </a:graphic>
                </wp:inline>
              </w:drawing>
            </w:r>
          </w:p>
        </w:tc>
        <w:tc>
          <w:tcPr>
            <w:tcW w:w="4763" w:type="dxa"/>
          </w:tcPr>
          <w:p>
            <w:pPr>
              <w:pStyle w:val="NurText"/>
              <w:rPr>
                <w:rFonts w:ascii="Scala Sans OT" w:hAnsi="Scala Sans OT"/>
                <w:lang w:val="de-DE"/>
              </w:rPr>
            </w:pPr>
            <w:r>
              <w:rPr>
                <w:rFonts w:ascii="Scala Sans OT" w:hAnsi="Scala Sans OT"/>
                <w:noProof/>
              </w:rPr>
              <w:drawing>
                <wp:inline distT="0" distB="0" distL="0" distR="0">
                  <wp:extent cx="2631056" cy="1922243"/>
                  <wp:effectExtent l="0" t="0" r="0" b="190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34627" cy="1924852"/>
                          </a:xfrm>
                          <a:prstGeom prst="rect">
                            <a:avLst/>
                          </a:prstGeom>
                        </pic:spPr>
                      </pic:pic>
                    </a:graphicData>
                  </a:graphic>
                </wp:inline>
              </w:drawing>
            </w:r>
          </w:p>
        </w:tc>
      </w:tr>
      <w:tr>
        <w:trPr>
          <w:trHeight w:val="272"/>
        </w:trPr>
        <w:tc>
          <w:tcPr>
            <w:tcW w:w="4755" w:type="dxa"/>
          </w:tcPr>
          <w:p>
            <w:pPr>
              <w:pStyle w:val="NurText"/>
              <w:rPr>
                <w:rFonts w:ascii="Scala Sans OT" w:hAnsi="Scala Sans OT"/>
                <w:noProof/>
              </w:rPr>
            </w:pPr>
            <w:r>
              <w:rPr>
                <w:rFonts w:ascii="Scala Sans OT" w:hAnsi="Scala Sans OT"/>
                <w:noProof/>
              </w:rPr>
              <w:t>ARE-Rate in Gesamtbevölkerung</w:t>
            </w:r>
          </w:p>
        </w:tc>
        <w:tc>
          <w:tcPr>
            <w:tcW w:w="4763" w:type="dxa"/>
          </w:tcPr>
          <w:p>
            <w:pPr>
              <w:pStyle w:val="NurText"/>
              <w:rPr>
                <w:rFonts w:ascii="Scala Sans OT" w:hAnsi="Scala Sans OT"/>
                <w:noProof/>
                <w:lang w:val="de-DE"/>
              </w:rPr>
            </w:pPr>
            <w:r>
              <w:rPr>
                <w:rFonts w:ascii="Scala Sans OT" w:hAnsi="Scala Sans OT"/>
                <w:noProof/>
                <w:lang w:val="de-DE"/>
              </w:rPr>
              <w:t>ARE-Rate bei Kinder und Erwachsenen</w:t>
            </w:r>
          </w:p>
        </w:tc>
      </w:tr>
    </w:tbl>
    <w:p>
      <w:pPr>
        <w:pStyle w:val="NurText"/>
        <w:rPr>
          <w:rFonts w:ascii="Scala Sans OT" w:hAnsi="Scala Sans OT"/>
          <w:lang w:val="de-DE"/>
        </w:rPr>
      </w:pPr>
    </w:p>
    <w:p>
      <w:pPr>
        <w:pStyle w:val="NurText"/>
        <w:numPr>
          <w:ilvl w:val="0"/>
          <w:numId w:val="4"/>
        </w:numPr>
        <w:rPr>
          <w:rFonts w:ascii="Scala Sans OT" w:hAnsi="Scala Sans OT"/>
          <w:b/>
          <w:lang w:val="de-DE"/>
        </w:rPr>
      </w:pPr>
      <w:r>
        <w:rPr>
          <w:rFonts w:ascii="Scala Sans OT" w:hAnsi="Scala Sans OT"/>
          <w:b/>
          <w:lang w:val="de-DE"/>
        </w:rPr>
        <w:t>Arbeitsgemeinschaft Influenza</w:t>
      </w:r>
    </w:p>
    <w:p>
      <w:pPr>
        <w:pStyle w:val="NurText"/>
        <w:ind w:left="1440"/>
        <w:rPr>
          <w:rFonts w:ascii="Scala Sans OT" w:hAnsi="Scala Sans OT"/>
          <w:b/>
          <w:lang w:val="de-DE"/>
        </w:rPr>
      </w:pPr>
    </w:p>
    <w:p>
      <w:pPr>
        <w:pStyle w:val="NurText"/>
        <w:numPr>
          <w:ilvl w:val="2"/>
          <w:numId w:val="1"/>
        </w:numPr>
        <w:rPr>
          <w:rFonts w:ascii="Scala Sans OT" w:hAnsi="Scala Sans OT"/>
          <w:b/>
          <w:lang w:val="de-DE"/>
        </w:rPr>
      </w:pPr>
      <w:r>
        <w:rPr>
          <w:rFonts w:ascii="Scala Sans OT" w:hAnsi="Scala Sans OT"/>
          <w:b/>
          <w:lang w:val="de-DE"/>
        </w:rPr>
        <w:t>Konsultationsinzidenz</w:t>
      </w:r>
    </w:p>
    <w:p>
      <w:pPr>
        <w:pStyle w:val="NurText"/>
        <w:ind w:left="2160"/>
        <w:rPr>
          <w:rFonts w:ascii="Scala Sans OT" w:hAnsi="Scala Sans OT"/>
          <w:lang w:val="de-DE"/>
        </w:rPr>
      </w:pPr>
    </w:p>
    <w:p>
      <w:pPr>
        <w:pStyle w:val="NurText"/>
        <w:rPr>
          <w:rFonts w:ascii="Scala Sans OT" w:hAnsi="Scala Sans OT"/>
          <w:lang w:val="de-DE"/>
        </w:rPr>
      </w:pPr>
      <w:r>
        <w:rPr>
          <w:rFonts w:ascii="Scala Sans OT" w:hAnsi="Scala Sans OT"/>
          <w:b/>
          <w:lang w:val="de-DE"/>
        </w:rPr>
        <w:t>Datenlage/Informationen zur Methodik:</w:t>
      </w:r>
      <w:r>
        <w:rPr>
          <w:rFonts w:ascii="Scala Sans OT" w:hAnsi="Scala Sans OT"/>
          <w:lang w:val="de-DE"/>
        </w:rPr>
        <w:t xml:space="preserve"> Im ambulanten Bereich überwacht die AGI mit ihrem Netzwerk aus primärversorgenden </w:t>
      </w:r>
      <w:proofErr w:type="spellStart"/>
      <w:r>
        <w:rPr>
          <w:rFonts w:ascii="Scala Sans OT" w:hAnsi="Scala Sans OT"/>
          <w:lang w:val="de-DE"/>
        </w:rPr>
        <w:t>Sentinelärztinnen</w:t>
      </w:r>
      <w:proofErr w:type="spellEnd"/>
      <w:r>
        <w:rPr>
          <w:rFonts w:ascii="Scala Sans OT" w:hAnsi="Scala Sans OT"/>
          <w:lang w:val="de-DE"/>
        </w:rPr>
        <w:t xml:space="preserve"> und -ärzten Arztbesuche von Personen mit akuten respiratorischen Erkrankungen (ARE). Mit den Daten aus den </w:t>
      </w:r>
      <w:proofErr w:type="spellStart"/>
      <w:r>
        <w:rPr>
          <w:rFonts w:ascii="Scala Sans OT" w:hAnsi="Scala Sans OT"/>
          <w:lang w:val="de-DE"/>
        </w:rPr>
        <w:t>Sentinelpraxen</w:t>
      </w:r>
      <w:proofErr w:type="spellEnd"/>
      <w:r>
        <w:rPr>
          <w:rFonts w:ascii="Scala Sans OT" w:hAnsi="Scala Sans OT"/>
          <w:lang w:val="de-DE"/>
        </w:rPr>
        <w:t xml:space="preserve"> werden die wöchentlichen Arztbesuche wegen ARE pro 100.000 Einwohner gesamt und in einzelnen Altersgruppen in Deutschland geschätzt (ARE-Konsultationsinzidenz). Ein großer Teil der </w:t>
      </w:r>
      <w:proofErr w:type="spellStart"/>
      <w:r>
        <w:rPr>
          <w:rFonts w:ascii="Scala Sans OT" w:hAnsi="Scala Sans OT"/>
          <w:lang w:val="de-DE"/>
        </w:rPr>
        <w:t>Sentinelpraxen</w:t>
      </w:r>
      <w:proofErr w:type="spellEnd"/>
      <w:r>
        <w:rPr>
          <w:rFonts w:ascii="Scala Sans OT" w:hAnsi="Scala Sans OT"/>
          <w:lang w:val="de-DE"/>
        </w:rPr>
        <w:t xml:space="preserve"> meldet die ARE-Erkrankungen über das elektronische Modul SEEDARE der AGI.  Grundsätzlich wird die „ARE-Hintergrundaktivität“ im Winterhalbjahr insbesondere durch die häufigen ARE (Erkältungen, grippale Infekte) in der Altersgruppe der Kleinkinder mitbestimmt.</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b/>
          <w:lang w:val="de-DE"/>
        </w:rPr>
        <w:t>Limitationen:</w:t>
      </w:r>
      <w:r>
        <w:rPr>
          <w:rFonts w:ascii="Scala Sans OT" w:hAnsi="Scala Sans OT"/>
          <w:lang w:val="de-DE"/>
        </w:rPr>
        <w:t xml:space="preserve"> COVID-19 ist eine der akuten Atemwegserkrankungen, die zu den Arztbesuchen führen und damit zur ARE-Konsultationsinzidenz beitragen, daneben führen auch ARE verursacht durch andere Erreger (z.B. </w:t>
      </w:r>
      <w:proofErr w:type="spellStart"/>
      <w:r>
        <w:rPr>
          <w:rFonts w:ascii="Scala Sans OT" w:hAnsi="Scala Sans OT"/>
          <w:lang w:val="de-DE"/>
        </w:rPr>
        <w:t>Rhinoviren</w:t>
      </w:r>
      <w:proofErr w:type="spellEnd"/>
      <w:r>
        <w:rPr>
          <w:rFonts w:ascii="Scala Sans OT" w:hAnsi="Scala Sans OT"/>
          <w:lang w:val="de-DE"/>
        </w:rPr>
        <w:t xml:space="preserve"> und andere Erkältungsviren) zu Arztbesuchen. Zwischen den Jahren kommt es grundsätzlich aufgrund eines geänderten Konsultationsverhaltens und anderer Rahmenbedingungen (viele Arztpraxen sind geschlossen, es wird häufig keine Arbeitsunfähigkeitsbescheinigung benötigt) zu einer deutlich erniedrigten ARE-Konsultationsinzidenz. Die Werte sind deshalb über den Jahreswechsel schwer zu beurteilen. </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b/>
          <w:lang w:val="de-DE"/>
        </w:rPr>
        <w:t>Bewertung:</w:t>
      </w:r>
      <w:r>
        <w:rPr>
          <w:rFonts w:ascii="Scala Sans OT" w:hAnsi="Scala Sans OT"/>
          <w:lang w:val="de-DE"/>
        </w:rPr>
        <w:t xml:space="preserve"> Seit der 46. KW 2020 lagen die Werte der ARE-Konsultationsinzidenz unter den Werten der Vorsaison. Von der 50. zur 52. KW wurde ein weiterer, zum Jahreswechsel hin üblicher Rückgang der Werte beobachtet. In der 52. KW lag die ARE-Konsultationsinzidenz auf einem ähnlich niedrigen Niveau wie in der Vorsaison.</w:t>
      </w:r>
    </w:p>
    <w:p>
      <w:pPr>
        <w:pStyle w:val="NurText"/>
        <w:rPr>
          <w:rFonts w:ascii="Scala Sans OT" w:hAnsi="Scala Sans OT"/>
          <w:lang w:val="de-DE"/>
        </w:rPr>
      </w:pPr>
    </w:p>
    <w:p>
      <w:pPr>
        <w:pStyle w:val="NurText"/>
        <w:numPr>
          <w:ilvl w:val="2"/>
          <w:numId w:val="1"/>
        </w:numPr>
        <w:rPr>
          <w:rFonts w:ascii="Scala Sans OT" w:hAnsi="Scala Sans OT"/>
          <w:b/>
          <w:lang w:val="de-DE"/>
        </w:rPr>
      </w:pPr>
      <w:r>
        <w:rPr>
          <w:rFonts w:ascii="Scala Sans OT" w:hAnsi="Scala Sans OT"/>
          <w:b/>
          <w:lang w:val="de-DE"/>
        </w:rPr>
        <w:t>Virologische Surveillance</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b/>
          <w:lang w:val="de-DE"/>
        </w:rPr>
        <w:t>Datenlage/Informationen zur Methodik:</w:t>
      </w:r>
      <w:r>
        <w:rPr>
          <w:rFonts w:ascii="Scala Sans OT" w:hAnsi="Scala Sans OT"/>
          <w:lang w:val="de-DE"/>
        </w:rPr>
        <w:t xml:space="preserve"> Die Virologische Surveillance akuter respiratorischer Erkrankungen stellt einen der wichtigsten Bausteine des </w:t>
      </w:r>
      <w:proofErr w:type="spellStart"/>
      <w:r>
        <w:rPr>
          <w:rFonts w:ascii="Scala Sans OT" w:hAnsi="Scala Sans OT"/>
          <w:lang w:val="de-DE"/>
        </w:rPr>
        <w:t>Sentinelsystems</w:t>
      </w:r>
      <w:proofErr w:type="spellEnd"/>
      <w:r>
        <w:rPr>
          <w:rFonts w:ascii="Scala Sans OT" w:hAnsi="Scala Sans OT"/>
          <w:lang w:val="de-DE"/>
        </w:rPr>
        <w:t xml:space="preserve"> zur Überwachung akuter Atemwegserkrankungen (ARE) dar. Die über 100 teilnehmenden AGI Praxen sind deutschlandweit repräsentativ verteilt und schicken regelmäßig Proben von ARE Patienten an das RKI (FG17 Influenza und andere respiratorische Viren, Nationales Referenzzentrum), wo die molekulare Testung auf eine Vielzahl respiratorischer Viren einschließlich  SARS-CoV-2, Influenzaviren (A/H3N2, A/H1N1pdm09, B/Vic, B/Yam), saisonale („Erkältungs-“) Coronaviren sowie Respiratorischen </w:t>
      </w:r>
      <w:proofErr w:type="spellStart"/>
      <w:r>
        <w:rPr>
          <w:rFonts w:ascii="Scala Sans OT" w:hAnsi="Scala Sans OT"/>
          <w:lang w:val="de-DE"/>
        </w:rPr>
        <w:t>Synzytialviren</w:t>
      </w:r>
      <w:proofErr w:type="spellEnd"/>
      <w:r>
        <w:rPr>
          <w:rFonts w:ascii="Scala Sans OT" w:hAnsi="Scala Sans OT"/>
          <w:lang w:val="de-DE"/>
        </w:rPr>
        <w:t xml:space="preserve">, Parainfluenzaviren, Metapneumoviren und </w:t>
      </w:r>
      <w:proofErr w:type="spellStart"/>
      <w:r>
        <w:rPr>
          <w:rFonts w:ascii="Scala Sans OT" w:hAnsi="Scala Sans OT"/>
          <w:lang w:val="de-DE"/>
        </w:rPr>
        <w:t>Rhinoviren</w:t>
      </w:r>
      <w:proofErr w:type="spellEnd"/>
      <w:r>
        <w:rPr>
          <w:rFonts w:ascii="Scala Sans OT" w:hAnsi="Scala Sans OT"/>
          <w:lang w:val="de-DE"/>
        </w:rPr>
        <w:t xml:space="preserve"> (HRV) erfolgt. So wird das Spektrum der für akute Atemwegsbeschwerden verantwortlichen Viren umfassend und differenziert dargestellt. </w:t>
      </w:r>
    </w:p>
    <w:p>
      <w:pPr>
        <w:pStyle w:val="NurText"/>
        <w:rPr>
          <w:rFonts w:ascii="Scala Sans OT" w:hAnsi="Scala Sans OT"/>
          <w:lang w:val="de-DE"/>
        </w:rPr>
      </w:pPr>
      <w:r>
        <w:rPr>
          <w:rFonts w:ascii="Scala Sans OT" w:hAnsi="Scala Sans OT"/>
          <w:lang w:val="de-DE"/>
        </w:rPr>
        <w:t xml:space="preserve">Im Vergleich zu den Vorjahren sind die Nachweisquoten aller respiratorischen Viren deutlich reduziert mit zwei Ausnahmen: SARS-CoV-2 und HRV (s. Tabelle und Abbildung). </w:t>
      </w:r>
    </w:p>
    <w:p>
      <w:pPr>
        <w:pStyle w:val="NurText"/>
        <w:spacing w:before="80" w:after="80"/>
        <w:rPr>
          <w:rFonts w:ascii="Scala Sans OT" w:hAnsi="Scala Sans OT"/>
          <w:b/>
          <w:lang w:val="de-DE"/>
        </w:rPr>
      </w:pPr>
    </w:p>
    <w:tbl>
      <w:tblPr>
        <w:tblW w:w="7797" w:type="dxa"/>
        <w:tblCellMar>
          <w:left w:w="0" w:type="dxa"/>
          <w:right w:w="0" w:type="dxa"/>
        </w:tblCellMar>
        <w:tblLook w:val="04A0" w:firstRow="1" w:lastRow="0" w:firstColumn="1" w:lastColumn="0" w:noHBand="0" w:noVBand="1"/>
      </w:tblPr>
      <w:tblGrid>
        <w:gridCol w:w="709"/>
        <w:gridCol w:w="1843"/>
        <w:gridCol w:w="2126"/>
        <w:gridCol w:w="3119"/>
      </w:tblGrid>
      <w:tr>
        <w:trPr>
          <w:trHeight w:val="247"/>
        </w:trPr>
        <w:tc>
          <w:tcPr>
            <w:tcW w:w="709" w:type="dxa"/>
            <w:tcBorders>
              <w:bottom w:val="single" w:sz="8" w:space="0" w:color="auto"/>
              <w:right w:val="single" w:sz="8" w:space="0" w:color="auto"/>
            </w:tcBorders>
            <w:shd w:val="clear" w:color="auto" w:fill="auto"/>
            <w:tcMar>
              <w:top w:w="15" w:type="dxa"/>
              <w:left w:w="53" w:type="dxa"/>
              <w:bottom w:w="0" w:type="dxa"/>
              <w:right w:w="53" w:type="dxa"/>
            </w:tcMar>
            <w:vAlign w:val="center"/>
            <w:hideMark/>
          </w:tcPr>
          <w:p>
            <w:pPr>
              <w:spacing w:line="240" w:lineRule="auto"/>
              <w:jc w:val="center"/>
              <w:rPr>
                <w:rFonts w:ascii="Scala Sans OT" w:eastAsia="Times New Roman" w:hAnsi="Scala Sans OT" w:cs="Arial"/>
                <w:color w:val="000000" w:themeColor="text1"/>
              </w:rPr>
            </w:pPr>
            <w:r>
              <w:rPr>
                <w:rFonts w:ascii="Scala Sans OT" w:eastAsia="Times New Roman" w:hAnsi="Scala Sans OT" w:cs="Calibri"/>
                <w:b/>
                <w:bCs/>
                <w:color w:val="000000" w:themeColor="text1"/>
                <w:kern w:val="24"/>
              </w:rPr>
              <w:t>Woche</w:t>
            </w:r>
          </w:p>
        </w:tc>
        <w:tc>
          <w:tcPr>
            <w:tcW w:w="1843" w:type="dxa"/>
            <w:tcBorders>
              <w:left w:val="single" w:sz="8" w:space="0" w:color="auto"/>
              <w:bottom w:val="single" w:sz="8" w:space="0" w:color="auto"/>
              <w:right w:val="single" w:sz="8" w:space="0" w:color="auto"/>
            </w:tcBorders>
            <w:shd w:val="clear" w:color="auto" w:fill="auto"/>
            <w:tcMar>
              <w:top w:w="15" w:type="dxa"/>
              <w:left w:w="53" w:type="dxa"/>
              <w:bottom w:w="0" w:type="dxa"/>
              <w:right w:w="53" w:type="dxa"/>
            </w:tcMar>
            <w:vAlign w:val="center"/>
            <w:hideMark/>
          </w:tcPr>
          <w:p>
            <w:pPr>
              <w:spacing w:line="240" w:lineRule="auto"/>
              <w:jc w:val="center"/>
              <w:rPr>
                <w:rFonts w:ascii="Scala Sans OT" w:eastAsia="Times New Roman" w:hAnsi="Scala Sans OT" w:cs="Arial"/>
                <w:color w:val="000000" w:themeColor="text1"/>
              </w:rPr>
            </w:pPr>
            <w:r>
              <w:rPr>
                <w:rFonts w:ascii="Scala Sans OT" w:eastAsia="Times New Roman" w:hAnsi="Scala Sans OT" w:cs="Calibri"/>
                <w:b/>
                <w:bCs/>
                <w:color w:val="000000" w:themeColor="text1"/>
                <w:kern w:val="24"/>
              </w:rPr>
              <w:t>SARS-CoV-2 positiv</w:t>
            </w:r>
          </w:p>
        </w:tc>
        <w:tc>
          <w:tcPr>
            <w:tcW w:w="2126" w:type="dxa"/>
            <w:tcBorders>
              <w:left w:val="single" w:sz="8" w:space="0" w:color="auto"/>
              <w:bottom w:val="single" w:sz="8" w:space="0" w:color="auto"/>
              <w:right w:val="single" w:sz="8" w:space="0" w:color="auto"/>
            </w:tcBorders>
            <w:shd w:val="clear" w:color="auto" w:fill="auto"/>
            <w:tcMar>
              <w:top w:w="15" w:type="dxa"/>
              <w:left w:w="53" w:type="dxa"/>
              <w:bottom w:w="0" w:type="dxa"/>
              <w:right w:w="53" w:type="dxa"/>
            </w:tcMar>
            <w:vAlign w:val="center"/>
            <w:hideMark/>
          </w:tcPr>
          <w:p>
            <w:pPr>
              <w:spacing w:line="240" w:lineRule="auto"/>
              <w:jc w:val="center"/>
              <w:rPr>
                <w:rFonts w:ascii="Scala Sans OT" w:eastAsia="Times New Roman" w:hAnsi="Scala Sans OT" w:cs="Arial"/>
                <w:color w:val="000000" w:themeColor="text1"/>
              </w:rPr>
            </w:pPr>
            <w:r>
              <w:rPr>
                <w:rFonts w:ascii="Scala Sans OT" w:eastAsia="Times New Roman" w:hAnsi="Scala Sans OT" w:cs="Calibri"/>
                <w:b/>
                <w:bCs/>
                <w:color w:val="000000" w:themeColor="text1"/>
                <w:kern w:val="24"/>
              </w:rPr>
              <w:t>Untersuchte Proben</w:t>
            </w:r>
          </w:p>
        </w:tc>
        <w:tc>
          <w:tcPr>
            <w:tcW w:w="3119" w:type="dxa"/>
            <w:tcBorders>
              <w:left w:val="single" w:sz="8" w:space="0" w:color="auto"/>
              <w:bottom w:val="single" w:sz="8" w:space="0" w:color="auto"/>
            </w:tcBorders>
            <w:shd w:val="clear" w:color="auto" w:fill="auto"/>
            <w:tcMar>
              <w:top w:w="15" w:type="dxa"/>
              <w:left w:w="53" w:type="dxa"/>
              <w:bottom w:w="0" w:type="dxa"/>
              <w:right w:w="53" w:type="dxa"/>
            </w:tcMar>
            <w:vAlign w:val="center"/>
            <w:hideMark/>
          </w:tcPr>
          <w:p>
            <w:pPr>
              <w:spacing w:line="240" w:lineRule="auto"/>
              <w:jc w:val="center"/>
              <w:rPr>
                <w:rFonts w:ascii="Scala Sans OT" w:eastAsia="Times New Roman" w:hAnsi="Scala Sans OT" w:cs="Arial"/>
                <w:color w:val="000000" w:themeColor="text1"/>
              </w:rPr>
            </w:pPr>
            <w:r>
              <w:rPr>
                <w:rFonts w:ascii="Scala Sans OT" w:eastAsia="Times New Roman" w:hAnsi="Scala Sans OT" w:cs="Calibri"/>
                <w:b/>
                <w:bCs/>
                <w:color w:val="000000" w:themeColor="text1"/>
                <w:kern w:val="24"/>
              </w:rPr>
              <w:t>SARS-CoV-2 Positivquote [%]</w:t>
            </w:r>
          </w:p>
        </w:tc>
      </w:tr>
      <w:tr>
        <w:trPr>
          <w:trHeight w:hRule="exact" w:val="284"/>
        </w:trPr>
        <w:tc>
          <w:tcPr>
            <w:tcW w:w="709" w:type="dxa"/>
            <w:tcBorders>
              <w:top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Times New Roman" w:hAnsi="Scala Sans OT" w:cs="Calibri"/>
                <w:b/>
                <w:bCs/>
                <w:color w:val="000000" w:themeColor="text1"/>
                <w:kern w:val="24"/>
              </w:rPr>
              <w:t>46</w:t>
            </w:r>
          </w:p>
        </w:tc>
        <w:tc>
          <w:tcPr>
            <w:tcW w:w="1843" w:type="dxa"/>
            <w:tcBorders>
              <w:top w:val="single" w:sz="8" w:space="0" w:color="auto"/>
              <w:left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Times New Roman" w:hAnsi="Scala Sans OT" w:cs="Calibri"/>
                <w:color w:val="000000" w:themeColor="text1"/>
                <w:kern w:val="24"/>
              </w:rPr>
              <w:t>6</w:t>
            </w:r>
          </w:p>
        </w:tc>
        <w:tc>
          <w:tcPr>
            <w:tcW w:w="2126" w:type="dxa"/>
            <w:tcBorders>
              <w:top w:val="single" w:sz="8" w:space="0" w:color="auto"/>
              <w:left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color w:val="000000" w:themeColor="text1"/>
                <w:kern w:val="24"/>
              </w:rPr>
              <w:t>86</w:t>
            </w:r>
          </w:p>
        </w:tc>
        <w:tc>
          <w:tcPr>
            <w:tcW w:w="3119" w:type="dxa"/>
            <w:tcBorders>
              <w:top w:val="single" w:sz="8" w:space="0" w:color="auto"/>
              <w:left w:val="single" w:sz="8" w:space="0" w:color="auto"/>
              <w:bottom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Times New Roman" w:hAnsi="Scala Sans OT" w:cs="Calibri"/>
                <w:color w:val="000000" w:themeColor="text1"/>
                <w:kern w:val="24"/>
              </w:rPr>
              <w:t>6%</w:t>
            </w:r>
          </w:p>
        </w:tc>
      </w:tr>
      <w:tr>
        <w:trPr>
          <w:trHeight w:hRule="exact" w:val="284"/>
        </w:trPr>
        <w:tc>
          <w:tcPr>
            <w:tcW w:w="709" w:type="dxa"/>
            <w:tcBorders>
              <w:top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b/>
                <w:bCs/>
                <w:color w:val="000000" w:themeColor="text1"/>
                <w:kern w:val="24"/>
              </w:rPr>
              <w:t>47</w:t>
            </w:r>
          </w:p>
        </w:tc>
        <w:tc>
          <w:tcPr>
            <w:tcW w:w="1843" w:type="dxa"/>
            <w:tcBorders>
              <w:top w:val="single" w:sz="8" w:space="0" w:color="auto"/>
              <w:left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color w:val="000000" w:themeColor="text1"/>
                <w:kern w:val="24"/>
              </w:rPr>
              <w:t>2</w:t>
            </w:r>
          </w:p>
        </w:tc>
        <w:tc>
          <w:tcPr>
            <w:tcW w:w="2126" w:type="dxa"/>
            <w:tcBorders>
              <w:top w:val="single" w:sz="8" w:space="0" w:color="auto"/>
              <w:left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color w:val="000000" w:themeColor="text1"/>
                <w:kern w:val="24"/>
              </w:rPr>
              <w:t>90</w:t>
            </w:r>
          </w:p>
        </w:tc>
        <w:tc>
          <w:tcPr>
            <w:tcW w:w="3119" w:type="dxa"/>
            <w:tcBorders>
              <w:top w:val="single" w:sz="8" w:space="0" w:color="auto"/>
              <w:left w:val="single" w:sz="8" w:space="0" w:color="auto"/>
              <w:bottom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color w:val="000000" w:themeColor="text1"/>
                <w:kern w:val="24"/>
              </w:rPr>
              <w:t>2%</w:t>
            </w:r>
          </w:p>
        </w:tc>
      </w:tr>
      <w:tr>
        <w:trPr>
          <w:trHeight w:hRule="exact" w:val="284"/>
        </w:trPr>
        <w:tc>
          <w:tcPr>
            <w:tcW w:w="709" w:type="dxa"/>
            <w:tcBorders>
              <w:top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Times New Roman" w:hAnsi="Scala Sans OT" w:cs="Calibri"/>
                <w:b/>
                <w:bCs/>
                <w:color w:val="000000" w:themeColor="text1"/>
                <w:kern w:val="24"/>
              </w:rPr>
              <w:t>48</w:t>
            </w:r>
          </w:p>
        </w:tc>
        <w:tc>
          <w:tcPr>
            <w:tcW w:w="1843" w:type="dxa"/>
            <w:tcBorders>
              <w:top w:val="single" w:sz="8" w:space="0" w:color="auto"/>
              <w:left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color w:val="000000" w:themeColor="text1"/>
                <w:kern w:val="24"/>
              </w:rPr>
              <w:t>6</w:t>
            </w:r>
          </w:p>
        </w:tc>
        <w:tc>
          <w:tcPr>
            <w:tcW w:w="2126" w:type="dxa"/>
            <w:tcBorders>
              <w:top w:val="single" w:sz="8" w:space="0" w:color="auto"/>
              <w:left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color w:val="000000" w:themeColor="text1"/>
                <w:kern w:val="24"/>
              </w:rPr>
              <w:t>94</w:t>
            </w:r>
          </w:p>
        </w:tc>
        <w:tc>
          <w:tcPr>
            <w:tcW w:w="3119" w:type="dxa"/>
            <w:tcBorders>
              <w:top w:val="single" w:sz="8" w:space="0" w:color="auto"/>
              <w:left w:val="single" w:sz="8" w:space="0" w:color="auto"/>
              <w:bottom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Times New Roman" w:hAnsi="Scala Sans OT" w:cs="Calibri"/>
                <w:color w:val="000000" w:themeColor="text1"/>
                <w:kern w:val="24"/>
              </w:rPr>
              <w:t>6%</w:t>
            </w:r>
          </w:p>
        </w:tc>
      </w:tr>
      <w:tr>
        <w:trPr>
          <w:trHeight w:hRule="exact" w:val="284"/>
        </w:trPr>
        <w:tc>
          <w:tcPr>
            <w:tcW w:w="709" w:type="dxa"/>
            <w:tcBorders>
              <w:top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Times New Roman" w:hAnsi="Scala Sans OT" w:cs="Calibri"/>
                <w:b/>
                <w:bCs/>
                <w:color w:val="000000" w:themeColor="text1"/>
                <w:kern w:val="24"/>
              </w:rPr>
              <w:t>49</w:t>
            </w:r>
          </w:p>
        </w:tc>
        <w:tc>
          <w:tcPr>
            <w:tcW w:w="1843" w:type="dxa"/>
            <w:tcBorders>
              <w:top w:val="single" w:sz="8" w:space="0" w:color="auto"/>
              <w:left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color w:val="000000" w:themeColor="text1"/>
                <w:kern w:val="24"/>
              </w:rPr>
              <w:t>20</w:t>
            </w:r>
          </w:p>
        </w:tc>
        <w:tc>
          <w:tcPr>
            <w:tcW w:w="2126" w:type="dxa"/>
            <w:tcBorders>
              <w:top w:val="single" w:sz="8" w:space="0" w:color="auto"/>
              <w:left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color w:val="000000" w:themeColor="text1"/>
                <w:kern w:val="24"/>
              </w:rPr>
              <w:t>188</w:t>
            </w:r>
          </w:p>
        </w:tc>
        <w:tc>
          <w:tcPr>
            <w:tcW w:w="3119" w:type="dxa"/>
            <w:tcBorders>
              <w:top w:val="single" w:sz="8" w:space="0" w:color="auto"/>
              <w:left w:val="single" w:sz="8" w:space="0" w:color="auto"/>
              <w:bottom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Times New Roman" w:hAnsi="Scala Sans OT" w:cs="Calibri"/>
                <w:color w:val="000000" w:themeColor="text1"/>
                <w:kern w:val="24"/>
              </w:rPr>
              <w:t>11%</w:t>
            </w:r>
          </w:p>
        </w:tc>
      </w:tr>
      <w:tr>
        <w:trPr>
          <w:trHeight w:hRule="exact" w:val="284"/>
        </w:trPr>
        <w:tc>
          <w:tcPr>
            <w:tcW w:w="709" w:type="dxa"/>
            <w:tcBorders>
              <w:top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Times New Roman" w:hAnsi="Scala Sans OT" w:cs="Calibri"/>
                <w:b/>
                <w:bCs/>
                <w:color w:val="000000" w:themeColor="text1"/>
                <w:kern w:val="24"/>
              </w:rPr>
              <w:t>50</w:t>
            </w:r>
          </w:p>
        </w:tc>
        <w:tc>
          <w:tcPr>
            <w:tcW w:w="1843" w:type="dxa"/>
            <w:tcBorders>
              <w:top w:val="single" w:sz="8" w:space="0" w:color="auto"/>
              <w:left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color w:val="000000" w:themeColor="text1"/>
                <w:kern w:val="24"/>
              </w:rPr>
              <w:t>28</w:t>
            </w:r>
          </w:p>
        </w:tc>
        <w:tc>
          <w:tcPr>
            <w:tcW w:w="2126" w:type="dxa"/>
            <w:tcBorders>
              <w:top w:val="single" w:sz="8" w:space="0" w:color="auto"/>
              <w:left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Times New Roman" w:hAnsi="Scala Sans OT" w:cs="Calibri"/>
                <w:color w:val="000000" w:themeColor="text1"/>
                <w:kern w:val="24"/>
              </w:rPr>
              <w:t>247</w:t>
            </w:r>
          </w:p>
        </w:tc>
        <w:tc>
          <w:tcPr>
            <w:tcW w:w="3119" w:type="dxa"/>
            <w:tcBorders>
              <w:top w:val="single" w:sz="8" w:space="0" w:color="auto"/>
              <w:left w:val="single" w:sz="8" w:space="0" w:color="auto"/>
              <w:bottom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Times New Roman" w:hAnsi="Scala Sans OT" w:cs="Calibri"/>
                <w:color w:val="000000" w:themeColor="text1"/>
                <w:kern w:val="24"/>
              </w:rPr>
              <w:t>11%</w:t>
            </w:r>
          </w:p>
        </w:tc>
      </w:tr>
      <w:tr>
        <w:trPr>
          <w:trHeight w:hRule="exact" w:val="284"/>
        </w:trPr>
        <w:tc>
          <w:tcPr>
            <w:tcW w:w="709" w:type="dxa"/>
            <w:tcBorders>
              <w:top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b/>
                <w:bCs/>
                <w:color w:val="000000" w:themeColor="text1"/>
                <w:kern w:val="24"/>
              </w:rPr>
              <w:t>51</w:t>
            </w:r>
          </w:p>
        </w:tc>
        <w:tc>
          <w:tcPr>
            <w:tcW w:w="1843" w:type="dxa"/>
            <w:tcBorders>
              <w:top w:val="single" w:sz="8" w:space="0" w:color="auto"/>
              <w:left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color w:val="000000" w:themeColor="text1"/>
                <w:kern w:val="24"/>
              </w:rPr>
              <w:t>16</w:t>
            </w:r>
          </w:p>
        </w:tc>
        <w:tc>
          <w:tcPr>
            <w:tcW w:w="2126" w:type="dxa"/>
            <w:tcBorders>
              <w:top w:val="single" w:sz="8" w:space="0" w:color="auto"/>
              <w:left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color w:val="000000" w:themeColor="text1"/>
                <w:kern w:val="24"/>
              </w:rPr>
              <w:t>186</w:t>
            </w:r>
          </w:p>
        </w:tc>
        <w:tc>
          <w:tcPr>
            <w:tcW w:w="3119" w:type="dxa"/>
            <w:tcBorders>
              <w:top w:val="single" w:sz="8" w:space="0" w:color="auto"/>
              <w:left w:val="single" w:sz="8" w:space="0" w:color="auto"/>
              <w:bottom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color w:val="000000" w:themeColor="text1"/>
                <w:kern w:val="24"/>
              </w:rPr>
              <w:t>8,6%</w:t>
            </w:r>
          </w:p>
        </w:tc>
      </w:tr>
      <w:tr>
        <w:trPr>
          <w:trHeight w:hRule="exact" w:val="284"/>
        </w:trPr>
        <w:tc>
          <w:tcPr>
            <w:tcW w:w="709" w:type="dxa"/>
            <w:tcBorders>
              <w:top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b/>
                <w:bCs/>
                <w:color w:val="000000" w:themeColor="text1"/>
                <w:kern w:val="24"/>
              </w:rPr>
              <w:t>52</w:t>
            </w:r>
          </w:p>
        </w:tc>
        <w:tc>
          <w:tcPr>
            <w:tcW w:w="1843" w:type="dxa"/>
            <w:tcBorders>
              <w:top w:val="single" w:sz="8" w:space="0" w:color="auto"/>
              <w:left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color w:val="000000" w:themeColor="text1"/>
                <w:kern w:val="24"/>
              </w:rPr>
              <w:t>11</w:t>
            </w:r>
          </w:p>
        </w:tc>
        <w:tc>
          <w:tcPr>
            <w:tcW w:w="2126" w:type="dxa"/>
            <w:tcBorders>
              <w:top w:val="single" w:sz="8" w:space="0" w:color="auto"/>
              <w:left w:val="single" w:sz="8" w:space="0" w:color="auto"/>
              <w:bottom w:val="single" w:sz="8" w:space="0" w:color="auto"/>
              <w:right w:val="single" w:sz="8" w:space="0" w:color="auto"/>
            </w:tcBorders>
            <w:shd w:val="clear" w:color="auto" w:fill="auto"/>
            <w:tcMar>
              <w:top w:w="15" w:type="dxa"/>
              <w:left w:w="53" w:type="dxa"/>
              <w:bottom w:w="0" w:type="dxa"/>
              <w:right w:w="53" w:type="dxa"/>
            </w:tcMar>
            <w:vAlign w:val="bottom"/>
            <w:hideMark/>
          </w:tcPr>
          <w:p>
            <w:pPr>
              <w:spacing w:line="240" w:lineRule="auto"/>
              <w:jc w:val="center"/>
              <w:rPr>
                <w:rFonts w:ascii="Scala Sans OT" w:eastAsia="Times New Roman" w:hAnsi="Scala Sans OT" w:cs="Arial"/>
                <w:color w:val="000000" w:themeColor="text1"/>
              </w:rPr>
            </w:pPr>
            <w:r>
              <w:rPr>
                <w:rFonts w:ascii="Scala Sans OT" w:eastAsia="Calibri" w:hAnsi="Scala Sans OT" w:cs="Calibri"/>
                <w:color w:val="000000" w:themeColor="text1"/>
                <w:kern w:val="24"/>
              </w:rPr>
              <w:t>71</w:t>
            </w:r>
          </w:p>
        </w:tc>
        <w:tc>
          <w:tcPr>
            <w:tcW w:w="3119" w:type="dxa"/>
            <w:tcBorders>
              <w:top w:val="single" w:sz="8" w:space="0" w:color="auto"/>
              <w:left w:val="single" w:sz="8" w:space="0" w:color="auto"/>
              <w:bottom w:val="single" w:sz="8" w:space="0" w:color="auto"/>
            </w:tcBorders>
            <w:shd w:val="clear" w:color="auto" w:fill="auto"/>
            <w:tcMar>
              <w:top w:w="15" w:type="dxa"/>
              <w:left w:w="53" w:type="dxa"/>
              <w:bottom w:w="0" w:type="dxa"/>
              <w:right w:w="53" w:type="dxa"/>
            </w:tcMar>
            <w:vAlign w:val="bottom"/>
            <w:hideMark/>
          </w:tcPr>
          <w:p>
            <w:pPr>
              <w:keepNext/>
              <w:spacing w:line="240" w:lineRule="auto"/>
              <w:jc w:val="center"/>
              <w:rPr>
                <w:rFonts w:ascii="Scala Sans OT" w:eastAsia="Times New Roman" w:hAnsi="Scala Sans OT" w:cs="Arial"/>
                <w:color w:val="000000" w:themeColor="text1"/>
              </w:rPr>
            </w:pPr>
            <w:r>
              <w:rPr>
                <w:rFonts w:ascii="Scala Sans OT" w:eastAsia="Calibri" w:hAnsi="Scala Sans OT" w:cs="Calibri"/>
                <w:color w:val="000000" w:themeColor="text1"/>
                <w:kern w:val="24"/>
              </w:rPr>
              <w:t>15,5%</w:t>
            </w:r>
          </w:p>
        </w:tc>
      </w:tr>
    </w:tbl>
    <w:p>
      <w:pPr>
        <w:pStyle w:val="Beschriftung"/>
        <w:rPr>
          <w:rFonts w:ascii="Scala Sans OT" w:hAnsi="Scala Sans OT"/>
          <w:lang w:val="de-DE"/>
        </w:rPr>
      </w:pPr>
      <w:r>
        <w:rPr>
          <w:rFonts w:ascii="Scala Sans OT" w:hAnsi="Scala Sans OT"/>
          <w:lang w:val="de-DE"/>
        </w:rPr>
        <w:t xml:space="preserve">Tabelle </w:t>
      </w:r>
      <w:r>
        <w:rPr>
          <w:rFonts w:ascii="Scala Sans OT" w:hAnsi="Scala Sans OT"/>
        </w:rPr>
        <w:fldChar w:fldCharType="begin"/>
      </w:r>
      <w:r>
        <w:rPr>
          <w:rFonts w:ascii="Scala Sans OT" w:hAnsi="Scala Sans OT"/>
          <w:lang w:val="de-DE"/>
        </w:rPr>
        <w:instrText xml:space="preserve"> SEQ Tabelle \* ARABIC </w:instrText>
      </w:r>
      <w:r>
        <w:rPr>
          <w:rFonts w:ascii="Scala Sans OT" w:hAnsi="Scala Sans OT"/>
        </w:rPr>
        <w:fldChar w:fldCharType="separate"/>
      </w:r>
      <w:r>
        <w:rPr>
          <w:rFonts w:ascii="Scala Sans OT" w:hAnsi="Scala Sans OT"/>
          <w:noProof/>
          <w:lang w:val="de-DE"/>
        </w:rPr>
        <w:t>1</w:t>
      </w:r>
      <w:r>
        <w:rPr>
          <w:rFonts w:ascii="Scala Sans OT" w:hAnsi="Scala Sans OT"/>
        </w:rPr>
        <w:fldChar w:fldCharType="end"/>
      </w:r>
      <w:r>
        <w:rPr>
          <w:rFonts w:ascii="Scala Sans OT" w:hAnsi="Scala Sans OT"/>
          <w:lang w:val="de-DE"/>
        </w:rPr>
        <w:t>: Proben und SARS-CoV-2 Nachweisraten der Virologischen Surveillance (FG 17 / NRZ Influenzaviren)</w:t>
      </w:r>
    </w:p>
    <w:p>
      <w:pPr>
        <w:pStyle w:val="NurText"/>
        <w:keepNext/>
        <w:rPr>
          <w:rFonts w:ascii="Scala Sans OT" w:hAnsi="Scala Sans OT"/>
        </w:rPr>
      </w:pPr>
      <w:r>
        <w:rPr>
          <w:rFonts w:ascii="Scala Sans OT" w:hAnsi="Scala Sans OT"/>
          <w:noProof/>
        </w:rPr>
        <w:drawing>
          <wp:inline distT="0" distB="0" distL="0" distR="0">
            <wp:extent cx="5972810" cy="2115820"/>
            <wp:effectExtent l="0" t="0" r="8890" b="0"/>
            <wp:docPr id="29" name="Diagramm 29">
              <a:extLst xmlns:a="http://schemas.openxmlformats.org/drawingml/2006/main">
                <a:ext uri="{FF2B5EF4-FFF2-40B4-BE49-F238E27FC236}">
                  <a16:creationId xmlns:a16="http://schemas.microsoft.com/office/drawing/2014/main" id="{B7A7FC01-27C9-4D2D-A67D-4E9859166D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Beschriftung"/>
        <w:rPr>
          <w:rFonts w:ascii="Scala Sans OT" w:hAnsi="Scala Sans OT"/>
          <w:lang w:val="de-DE"/>
        </w:rPr>
      </w:pPr>
      <w:r>
        <w:rPr>
          <w:rFonts w:ascii="Scala Sans OT" w:hAnsi="Scala Sans OT"/>
          <w:lang w:val="de-DE"/>
        </w:rPr>
        <w:t xml:space="preserve">Abbildung </w:t>
      </w:r>
      <w:r>
        <w:rPr>
          <w:rFonts w:ascii="Scala Sans OT" w:hAnsi="Scala Sans OT"/>
        </w:rPr>
        <w:fldChar w:fldCharType="begin"/>
      </w:r>
      <w:r>
        <w:rPr>
          <w:rFonts w:ascii="Scala Sans OT" w:hAnsi="Scala Sans OT"/>
          <w:lang w:val="de-DE"/>
        </w:rPr>
        <w:instrText xml:space="preserve"> SEQ Abbildung \* ARABIC </w:instrText>
      </w:r>
      <w:r>
        <w:rPr>
          <w:rFonts w:ascii="Scala Sans OT" w:hAnsi="Scala Sans OT"/>
        </w:rPr>
        <w:fldChar w:fldCharType="separate"/>
      </w:r>
      <w:r>
        <w:rPr>
          <w:rFonts w:ascii="Scala Sans OT" w:hAnsi="Scala Sans OT"/>
          <w:noProof/>
          <w:lang w:val="de-DE"/>
        </w:rPr>
        <w:t>4</w:t>
      </w:r>
      <w:r>
        <w:rPr>
          <w:rFonts w:ascii="Scala Sans OT" w:hAnsi="Scala Sans OT"/>
        </w:rPr>
        <w:fldChar w:fldCharType="end"/>
      </w:r>
      <w:r>
        <w:rPr>
          <w:rFonts w:ascii="Scala Sans OT" w:hAnsi="Scala Sans OT"/>
          <w:lang w:val="de-DE"/>
        </w:rPr>
        <w:t xml:space="preserve">: Nachweise ausgewählter respiratorischen Viren, </w:t>
      </w:r>
      <w:proofErr w:type="spellStart"/>
      <w:r>
        <w:rPr>
          <w:rFonts w:ascii="Scala Sans OT" w:hAnsi="Scala Sans OT"/>
          <w:lang w:val="de-DE"/>
        </w:rPr>
        <w:t>Rhinoviren</w:t>
      </w:r>
      <w:proofErr w:type="spellEnd"/>
      <w:r>
        <w:rPr>
          <w:rFonts w:ascii="Scala Sans OT" w:hAnsi="Scala Sans OT"/>
          <w:lang w:val="de-DE"/>
        </w:rPr>
        <w:t xml:space="preserve"> (HRV) und SARS-CoV-2</w:t>
      </w:r>
    </w:p>
    <w:p>
      <w:pPr>
        <w:pStyle w:val="NurText"/>
        <w:rPr>
          <w:rFonts w:ascii="Scala Sans OT" w:hAnsi="Scala Sans OT"/>
          <w:lang w:val="de-DE"/>
        </w:rPr>
      </w:pPr>
      <w:r>
        <w:rPr>
          <w:rFonts w:ascii="Scala Sans OT" w:hAnsi="Scala Sans OT"/>
          <w:b/>
          <w:lang w:val="de-DE"/>
        </w:rPr>
        <w:t>Limitationen:</w:t>
      </w:r>
      <w:r>
        <w:rPr>
          <w:rFonts w:ascii="Scala Sans OT" w:hAnsi="Scala Sans OT"/>
          <w:lang w:val="de-DE"/>
        </w:rPr>
        <w:t xml:space="preserve"> Nicht alle AGI-Praxen haben im vergangenen Jahr regelmäßig eingesendet. Um die Repräsentativität des Sentinels weiter zu erhöhen, erfolgt derzeit die Erweiterung des Sentinels.</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b/>
          <w:lang w:val="de-DE"/>
        </w:rPr>
        <w:t>Bewertung:</w:t>
      </w:r>
      <w:r>
        <w:rPr>
          <w:rFonts w:ascii="Scala Sans OT" w:hAnsi="Scala Sans OT"/>
          <w:lang w:val="de-DE"/>
        </w:rPr>
        <w:t xml:space="preserve"> Ungeachtet der Limitationen spiegelt die virologische Surveillance sehr gut die Zirkulation respiratorischer Viren wider. Die Lockdowns, Schutz- und Hygienemaßnahmen haben zur Reduktion der Zirkulation aller untersuchten respiratorischen Viren geführt mit Ausnahme von SARS-CoV-2 und </w:t>
      </w:r>
      <w:proofErr w:type="spellStart"/>
      <w:r>
        <w:rPr>
          <w:rFonts w:ascii="Scala Sans OT" w:hAnsi="Scala Sans OT"/>
          <w:lang w:val="de-DE"/>
        </w:rPr>
        <w:t>Rhinoviren</w:t>
      </w:r>
      <w:proofErr w:type="spellEnd"/>
      <w:r>
        <w:rPr>
          <w:rFonts w:ascii="Scala Sans OT" w:hAnsi="Scala Sans OT"/>
          <w:lang w:val="de-DE"/>
        </w:rPr>
        <w:t xml:space="preserve">. Die Positivraten des Nachweises von SARS-CoV-2 liegen im Bereich der aus anderen Systemen für Deutschland berichteten Positivraten. Über den Jahreswechsel sind weniger Proben zur Untersuchung eingetroffen, sodass die Bewertung der gegenwärtigen Situation limitiert ist. Die Nachweisraten von </w:t>
      </w:r>
      <w:proofErr w:type="spellStart"/>
      <w:r>
        <w:rPr>
          <w:rFonts w:ascii="Scala Sans OT" w:hAnsi="Scala Sans OT"/>
          <w:lang w:val="de-DE"/>
        </w:rPr>
        <w:t>Rhinoviren</w:t>
      </w:r>
      <w:proofErr w:type="spellEnd"/>
      <w:r>
        <w:rPr>
          <w:rFonts w:ascii="Scala Sans OT" w:hAnsi="Scala Sans OT"/>
          <w:lang w:val="de-DE"/>
        </w:rPr>
        <w:t xml:space="preserve"> und SARS-CoV-2 sind jedoch nicht zurückgegangen, weshalb wir die Lage bezüglich SARS-CoV-2 weiterhin als ernst einschätzen.</w:t>
      </w:r>
    </w:p>
    <w:p>
      <w:pPr>
        <w:pStyle w:val="NurText"/>
        <w:rPr>
          <w:rFonts w:ascii="Scala Sans OT" w:hAnsi="Scala Sans OT"/>
          <w:lang w:val="de-DE"/>
        </w:rPr>
      </w:pPr>
    </w:p>
    <w:p>
      <w:pPr>
        <w:pStyle w:val="berschrift2"/>
        <w:numPr>
          <w:ilvl w:val="0"/>
          <w:numId w:val="5"/>
        </w:numPr>
      </w:pPr>
      <w:bookmarkStart w:id="8" w:name="_Toc60668068"/>
      <w:r>
        <w:t xml:space="preserve">ICD-10 Code basierte </w:t>
      </w:r>
      <w:proofErr w:type="spellStart"/>
      <w:r>
        <w:t>syndromische</w:t>
      </w:r>
      <w:proofErr w:type="spellEnd"/>
      <w:r>
        <w:t xml:space="preserve"> Surveillance schwerer akute Atemwegserkrankungen (ICOSARI)</w:t>
      </w:r>
      <w:bookmarkEnd w:id="8"/>
    </w:p>
    <w:p>
      <w:pPr>
        <w:pStyle w:val="NurText"/>
        <w:rPr>
          <w:rFonts w:ascii="Scala Sans OT" w:hAnsi="Scala Sans OT"/>
          <w:lang w:val="de-DE"/>
        </w:rPr>
      </w:pPr>
    </w:p>
    <w:p>
      <w:pPr>
        <w:pStyle w:val="NurText"/>
        <w:rPr>
          <w:rFonts w:ascii="Scala Sans OT" w:hAnsi="Scala Sans OT"/>
          <w:lang w:val="de-DE"/>
        </w:rPr>
      </w:pPr>
      <w:r>
        <w:rPr>
          <w:rFonts w:ascii="Scala Sans OT" w:hAnsi="Scala Sans OT"/>
          <w:b/>
          <w:lang w:val="de-DE"/>
        </w:rPr>
        <w:t>Datenlage/Informationen zur Methodik:</w:t>
      </w:r>
      <w:r>
        <w:rPr>
          <w:rFonts w:ascii="Scala Sans OT" w:hAnsi="Scala Sans OT"/>
          <w:lang w:val="de-DE"/>
        </w:rPr>
        <w:t xml:space="preserve"> Im Rahmen eines Kooperationsvertrags werden Routinedaten zu schweren akuten respiratorischen Infektionen (SARI) aus ca. 70 Krankenhäusern an das RKI gesendet und wöchentlich nach Datum der Krankenhausaufnahme, nach Altersgruppen sowie nach Anteil an COVID-19-Diagnosen ausgewertet. </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b/>
          <w:lang w:val="de-DE"/>
        </w:rPr>
        <w:t>Limitationen:</w:t>
      </w:r>
      <w:r>
        <w:rPr>
          <w:rFonts w:ascii="Scala Sans OT" w:hAnsi="Scala Sans OT"/>
          <w:lang w:val="de-DE"/>
        </w:rPr>
        <w:t xml:space="preserve"> Aufgrund der Verfügbarkeit der Daten wird für die zeitnahe wöchentliche Berichterstattung eine Untergruppe der Patienten betrachtet, die nach spätestens einer Woche Krankenhausaufenthalt wieder entlassen wurden. Es kann mit einem Verzug von 2 Wochen verlässlich über die Anzahl der neu aufgenommenen Patienten berichtet werden. Aktuelle Daten zur 52. KW 2020 stehen ab dem 5.1.2021 zur Verfügung. Regionale Aussagen sind nicht möglich. Im Rahmen der </w:t>
      </w:r>
      <w:proofErr w:type="spellStart"/>
      <w:r>
        <w:rPr>
          <w:rFonts w:ascii="Scala Sans OT" w:hAnsi="Scala Sans OT"/>
          <w:lang w:val="de-DE"/>
        </w:rPr>
        <w:t>syndromischen</w:t>
      </w:r>
      <w:proofErr w:type="spellEnd"/>
      <w:r>
        <w:rPr>
          <w:rFonts w:ascii="Scala Sans OT" w:hAnsi="Scala Sans OT"/>
          <w:lang w:val="de-DE"/>
        </w:rPr>
        <w:t xml:space="preserve"> Surveillance werden nur COVID-19-Fälle mit einer respiratorischen Diagnose erfasst. </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b/>
          <w:lang w:val="de-DE"/>
        </w:rPr>
        <w:t>Bewertung:</w:t>
      </w:r>
      <w:r>
        <w:rPr>
          <w:rFonts w:ascii="Scala Sans OT" w:hAnsi="Scala Sans OT"/>
          <w:lang w:val="de-DE"/>
        </w:rPr>
        <w:t xml:space="preserve"> Die Anzahl der neu aufgenommenen SARI-Fälle ist seit der 44. KW 2020 höher als in den Vorjahren, bedingt durch eine deutlich höhere Anzahl an SARI-Fällen im Alter ab 35 Jahren. In den letzten Wochen wurden aus den Altersgruppen ab 35 Jahre wöchentlich etwa so viele Fälle wegen einer SARI hospitalisiert wie sonst zum Höhepunkt der Grippewelle. Seit der 45. KW 2020 wurden wöchentlich mehr als die Hälfte aller SARI-Fälle mit COVID-19 hospitalisiert. Vorläufige Daten zur 52. KW 2020 deuten auf gleichbleibend hohe SARI-Fallzahlen hin sowie auf einen anhaltend hohen Anteil an COVID-19-Patienten unter den SARI-Fällen von über 60%.</w:t>
      </w:r>
    </w:p>
    <w:p>
      <w:pPr>
        <w:spacing w:line="240" w:lineRule="auto"/>
        <w:ind w:left="0"/>
        <w:rPr>
          <w:rFonts w:ascii="Scala Sans OT" w:eastAsiaTheme="minorHAnsi" w:hAnsi="Scala Sans OT"/>
          <w:sz w:val="22"/>
          <w:szCs w:val="21"/>
          <w:lang w:eastAsia="en-US"/>
        </w:rPr>
      </w:pPr>
      <w:r>
        <w:rPr>
          <w:rFonts w:ascii="Scala Sans OT" w:hAnsi="Scala Sans OT"/>
        </w:rPr>
        <w:br w:type="page"/>
      </w:r>
    </w:p>
    <w:p>
      <w:pPr>
        <w:pStyle w:val="berschrift2"/>
        <w:numPr>
          <w:ilvl w:val="0"/>
          <w:numId w:val="5"/>
        </w:numPr>
      </w:pPr>
      <w:bookmarkStart w:id="9" w:name="_Toc60668069"/>
      <w:r>
        <w:t>DIVI-Intensivregister</w:t>
      </w:r>
      <w:bookmarkEnd w:id="9"/>
    </w:p>
    <w:p>
      <w:pPr>
        <w:pStyle w:val="NurText"/>
        <w:rPr>
          <w:rFonts w:ascii="Scala Sans OT" w:hAnsi="Scala Sans OT"/>
          <w:lang w:val="de-DE"/>
        </w:rPr>
      </w:pPr>
    </w:p>
    <w:p>
      <w:pPr>
        <w:pStyle w:val="NurText"/>
        <w:rPr>
          <w:rFonts w:ascii="Scala Sans OT" w:hAnsi="Scala Sans OT"/>
          <w:lang w:val="de-DE"/>
        </w:rPr>
      </w:pPr>
      <w:r>
        <w:rPr>
          <w:rFonts w:ascii="Scala Sans OT" w:hAnsi="Scala Sans OT"/>
          <w:b/>
          <w:lang w:val="de-DE"/>
        </w:rPr>
        <w:t xml:space="preserve">Datenlage/Informationen zur Methodik: </w:t>
      </w:r>
      <w:r>
        <w:rPr>
          <w:rFonts w:ascii="Scala Sans OT" w:hAnsi="Scala Sans OT"/>
          <w:lang w:val="de-DE"/>
        </w:rPr>
        <w:t>Täglich erfasst das DIVI-Intensivregister die freien und belegten Behandlungskapazitäten in der Intensivmedizin von etwa 1.300 Akut-Krankenhäusern in Deutschland. Im Rahmen der SARS-CoV-2-Pandemie werden zudem auch aktuelle Fallzahlen intensivmedizinisch behandelter COVID-19-Patient*innen aufgezeichnet. Das Register ermöglicht in der Pandemie, und darüber hinaus, Engpässe in der intensivmedizinischen Versorgung im regionalen und zeitlichen Vergleich zu erkennen. Damit schafft das DIVI-Intensivregister eine wertvolle Grundlage zur Reaktion und zur datengestützten Handlungssteuerung in Echtzeit seit April 2020.</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b/>
          <w:lang w:val="de-DE"/>
        </w:rPr>
        <w:t>Limitationen:</w:t>
      </w:r>
      <w:r>
        <w:rPr>
          <w:rFonts w:ascii="Scala Sans OT" w:hAnsi="Scala Sans OT"/>
          <w:lang w:val="de-DE"/>
        </w:rPr>
        <w:t xml:space="preserve"> basiert auf individuellen täglichen Meldungen des medizinischen Fachpersonals, ohne Meldeverzug über die Feiertage.</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b/>
          <w:lang w:val="de-DE"/>
        </w:rPr>
        <w:t>Bewertung (Datenstand 04-01-2021):</w:t>
      </w:r>
      <w:r>
        <w:rPr>
          <w:rFonts w:ascii="Scala Sans OT" w:hAnsi="Scala Sans OT"/>
          <w:lang w:val="de-DE"/>
        </w:rPr>
        <w:t xml:space="preserve"> Der Anteil der COVID-19 PatientInnen an der Gesamtzahl der Intensivbetten übersteigt in bereits acht Bundesländern die kritische Grenze von 25%, in vier BL liegt sie sogar über 30%. Der Anteil der freien Betten an Gesamtzahl der Intensivbetten unterschreitet inzwischen in 10 BL die ebenfalls kritische Grenze von 15%, in Berlin beträgt dieser Anteil bereits weniger als 10%. Seit Anfang November übersteigt die Anzahl aktuell intensivpflichtiger COVID-PatientInnen die Maximalwerte (ca. 3000) aus der 1. Welle und steigt seither kontinuierlich weiter an mit einem aktuellen Wert von 5.729 Fällen (davon ca. 80% beatmet, invasiv und nicht invasiv). Auch über Feiertage stiegen die Zahlen weiterhin an mit alleine +840 zusätzlichen Belegungen über die letzten 2 Wochen. Zusätzlich nehmen die noch verfügbaren Kapazitäten zur invasiven Beatmung kontinuierlich ab. Mehr als 70% der Intensivbereiche geben aktuell an, begrenzt oder vollständig ausgelastet zu sein. Als wichtigster Grund für eingeschränkte Betriebssituation wird Personalmangel angegeben. </w:t>
      </w:r>
    </w:p>
    <w:p>
      <w:pPr>
        <w:pStyle w:val="NurText"/>
        <w:rPr>
          <w:rFonts w:ascii="Scala Sans OT" w:hAnsi="Scala Sans OT"/>
          <w:lang w:val="de-DE"/>
        </w:rPr>
      </w:pPr>
    </w:p>
    <w:p>
      <w:pPr>
        <w:pStyle w:val="berschrift2"/>
        <w:numPr>
          <w:ilvl w:val="0"/>
          <w:numId w:val="5"/>
        </w:numPr>
        <w:rPr>
          <w:rFonts w:ascii="Scala Sans OT" w:hAnsi="Scala Sans OT"/>
        </w:rPr>
      </w:pPr>
      <w:bookmarkStart w:id="10" w:name="_Toc60668070"/>
      <w:r>
        <w:rPr>
          <w:rFonts w:ascii="Scala Sans OT" w:hAnsi="Scala Sans OT"/>
        </w:rPr>
        <w:t>Molekulare Analyse von SARS-CoV-2</w:t>
      </w:r>
      <w:bookmarkEnd w:id="10"/>
    </w:p>
    <w:p/>
    <w:p>
      <w:pPr>
        <w:pStyle w:val="NurText"/>
        <w:rPr>
          <w:rFonts w:ascii="Scala Sans OT" w:hAnsi="Scala Sans OT"/>
          <w:lang w:val="de-DE"/>
        </w:rPr>
      </w:pPr>
      <w:r>
        <w:rPr>
          <w:rFonts w:ascii="Scala Sans OT" w:hAnsi="Scala Sans OT"/>
          <w:lang w:val="de-DE"/>
        </w:rPr>
        <w:t xml:space="preserve">Datenlage/Informationen zur Methodik: Das RKI sequenziert SARS-CoV-2-positive Isolate aus Ausbruchsanalysen und von Einsendern des Labornetzwerks AGI Influenza sowie der SARS-CoV-2-IMS. Seit Mitte Dezember konnte die Anzahl der Genomsequenzierungen am RKI deutlich gesteigert werden und mehr als 150 weitere Isolate analysiert werden. Zudem werden öffentlich zugängliche Daten z.B. von </w:t>
      </w:r>
      <w:proofErr w:type="spellStart"/>
      <w:r>
        <w:rPr>
          <w:rFonts w:ascii="Scala Sans OT" w:hAnsi="Scala Sans OT"/>
          <w:lang w:val="de-DE"/>
        </w:rPr>
        <w:t>Gisaid</w:t>
      </w:r>
      <w:proofErr w:type="spellEnd"/>
      <w:r>
        <w:rPr>
          <w:rFonts w:ascii="Scala Sans OT" w:hAnsi="Scala Sans OT"/>
          <w:lang w:val="de-DE"/>
        </w:rPr>
        <w:t xml:space="preserve"> oder des </w:t>
      </w:r>
      <w:proofErr w:type="spellStart"/>
      <w:r>
        <w:rPr>
          <w:rFonts w:ascii="Scala Sans OT" w:hAnsi="Scala Sans OT"/>
          <w:lang w:val="de-DE"/>
        </w:rPr>
        <w:t>Konsiliarlabors</w:t>
      </w:r>
      <w:proofErr w:type="spellEnd"/>
      <w:r>
        <w:rPr>
          <w:rFonts w:ascii="Scala Sans OT" w:hAnsi="Scala Sans OT"/>
          <w:lang w:val="de-DE"/>
        </w:rPr>
        <w:t xml:space="preserve"> bei der Analyse berücksichtigt.</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lang w:val="de-DE"/>
        </w:rPr>
        <w:t>Limitationen: Die Auswahl verfügbarer SARS-CoV-2 Sequenzen ist weder repräsentativ noch für eine Beurteilung der deutschen SARS-CoV-2 Population ausreichend.</w:t>
      </w:r>
    </w:p>
    <w:p>
      <w:pPr>
        <w:pStyle w:val="NurText"/>
        <w:rPr>
          <w:rFonts w:ascii="Scala Sans OT" w:hAnsi="Scala Sans OT"/>
          <w:lang w:val="de-DE"/>
        </w:rPr>
      </w:pPr>
    </w:p>
    <w:p>
      <w:pPr>
        <w:pStyle w:val="NurText"/>
        <w:rPr>
          <w:rFonts w:ascii="Scala Sans OT" w:hAnsi="Scala Sans OT"/>
          <w:lang w:val="de-DE"/>
        </w:rPr>
      </w:pPr>
      <w:r>
        <w:rPr>
          <w:rFonts w:ascii="Scala Sans OT" w:hAnsi="Scala Sans OT"/>
          <w:lang w:val="de-DE"/>
        </w:rPr>
        <w:t>Bewertung: Im Rahmen der wöchentlich im Rahmen der SARS-CoV-2-IMS analysierten Isolate konnte ein Isolat der Linie B.1.1.7 (UK-Variante) zugeordnet werden. Das Isolat stammt aus NRW und wurde am 07.12.2020 isoliert. Nach derzeitigem Wissenstand zeichnet sich diese Linie durch vermutlich deutlich erhöhte Übertragbarkeit aus und wird für den aktuellen starken Anstieg der Inzidenz in UK verantwortlich gemacht. In Deutschland sind derzeit 3 Fälle nachweislich bekannt (Ba-</w:t>
      </w:r>
      <w:proofErr w:type="spellStart"/>
      <w:r>
        <w:rPr>
          <w:rFonts w:ascii="Scala Sans OT" w:hAnsi="Scala Sans OT"/>
          <w:lang w:val="de-DE"/>
        </w:rPr>
        <w:t>Wü</w:t>
      </w:r>
      <w:proofErr w:type="spellEnd"/>
      <w:r>
        <w:rPr>
          <w:rFonts w:ascii="Scala Sans OT" w:hAnsi="Scala Sans OT"/>
          <w:lang w:val="de-DE"/>
        </w:rPr>
        <w:t xml:space="preserve"> [Presseberichte], Niedersachsen [Email der MHH], NRW [SARS-CoV-2-IMS]), mangelnde Sequenzdaten lassen keine Abschätzung der B.1.1.7 Verbreitung in Deutschland zu. </w:t>
      </w:r>
    </w:p>
    <w:p>
      <w:pPr>
        <w:pStyle w:val="NurText"/>
        <w:rPr>
          <w:rFonts w:ascii="Scala Sans OT" w:hAnsi="Scala Sans OT"/>
          <w:lang w:val="de-DE"/>
        </w:rPr>
      </w:pPr>
      <w:r>
        <w:rPr>
          <w:rFonts w:ascii="Scala Sans OT" w:hAnsi="Scala Sans OT"/>
          <w:lang w:val="de-DE"/>
        </w:rPr>
        <w:t>Eine intensivierte molekulare Surveillance (Steigerung der kontinuierlichen Genomsequenzierungen) u.a. im Hinblick auf eine mögliche Verbreitung dieser und anderer neu entstehender Virusvarianten sind nachdrücklich angeraten.</w:t>
      </w:r>
    </w:p>
    <w:p>
      <w:pPr>
        <w:spacing w:line="240" w:lineRule="auto"/>
        <w:ind w:left="0"/>
        <w:rPr>
          <w:rFonts w:ascii="Scala Sans OT" w:eastAsiaTheme="minorHAnsi" w:hAnsi="Scala Sans OT"/>
          <w:sz w:val="22"/>
          <w:szCs w:val="21"/>
          <w:lang w:eastAsia="en-US"/>
        </w:rPr>
      </w:pPr>
      <w:r>
        <w:rPr>
          <w:rFonts w:ascii="Scala Sans OT" w:hAnsi="Scala Sans OT"/>
        </w:rPr>
        <w:br w:type="page"/>
      </w:r>
    </w:p>
    <w:p>
      <w:pPr>
        <w:pStyle w:val="NurText"/>
        <w:rPr>
          <w:rFonts w:ascii="Scala Sans OT" w:hAnsi="Scala Sans OT"/>
          <w:lang w:val="de-DE"/>
        </w:rPr>
      </w:pPr>
    </w:p>
    <w:p>
      <w:pPr>
        <w:pStyle w:val="berschrift2"/>
        <w:numPr>
          <w:ilvl w:val="0"/>
          <w:numId w:val="5"/>
        </w:numPr>
        <w:rPr>
          <w:rFonts w:ascii="Scala Sans OT" w:hAnsi="Scala Sans OT"/>
        </w:rPr>
      </w:pPr>
      <w:bookmarkStart w:id="11" w:name="_Toc60668071"/>
      <w:r>
        <w:rPr>
          <w:rFonts w:ascii="Scala Sans OT" w:hAnsi="Scala Sans OT"/>
        </w:rPr>
        <w:t>Mobilitätsdaten</w:t>
      </w:r>
      <w:bookmarkEnd w:id="11"/>
    </w:p>
    <w:p>
      <w:pPr>
        <w:pStyle w:val="NurText"/>
        <w:rPr>
          <w:rFonts w:ascii="Scala Sans OT" w:hAnsi="Scala Sans OT"/>
          <w:lang w:val="de-DE"/>
        </w:rPr>
      </w:pPr>
    </w:p>
    <w:p>
      <w:pPr>
        <w:pStyle w:val="NurText"/>
        <w:rPr>
          <w:rFonts w:ascii="Scala Sans OT" w:hAnsi="Scala Sans OT"/>
          <w:b/>
          <w:lang w:val="de-DE"/>
        </w:rPr>
      </w:pPr>
      <w:r>
        <w:rPr>
          <w:rFonts w:ascii="Scala Sans OT" w:hAnsi="Scala Sans OT"/>
          <w:b/>
          <w:lang w:val="de-DE"/>
        </w:rPr>
        <w:t xml:space="preserve">Datenlage/Informationen zur Methodik: </w:t>
      </w:r>
      <w:r>
        <w:rPr>
          <w:rFonts w:ascii="Scala Sans OT" w:hAnsi="Scala Sans OT"/>
          <w:lang w:val="de-DE"/>
        </w:rPr>
        <w:t xml:space="preserve">Das RKI analysiert seit Anfang April die </w:t>
      </w:r>
      <w:r>
        <w:rPr>
          <w:rFonts w:ascii="Scala Sans OT" w:hAnsi="Scala Sans OT"/>
          <w:lang w:val="de-DE"/>
        </w:rPr>
        <w:t>Bewegungsströmen in Deutschland auf Basis von aggregierten Mobilfunkdaten</w:t>
      </w:r>
      <w:r>
        <w:rPr>
          <w:rFonts w:ascii="Scala Sans OT" w:hAnsi="Scala Sans OT"/>
          <w:lang w:val="de-DE"/>
        </w:rPr>
        <w:t>.</w:t>
      </w:r>
      <w:r>
        <w:rPr>
          <w:rFonts w:ascii="Arial" w:hAnsi="Arial" w:cs="Arial"/>
          <w:color w:val="323232"/>
          <w:sz w:val="31"/>
          <w:szCs w:val="31"/>
          <w:shd w:val="clear" w:color="auto" w:fill="FFFFFF"/>
          <w:lang w:val="de-DE"/>
        </w:rPr>
        <w:t xml:space="preserve"> </w:t>
      </w:r>
    </w:p>
    <w:p>
      <w:pPr>
        <w:pStyle w:val="NurText"/>
        <w:rPr>
          <w:rFonts w:ascii="Scala Sans OT" w:hAnsi="Scala Sans OT"/>
          <w:b/>
          <w:lang w:val="de-DE"/>
        </w:rPr>
      </w:pPr>
    </w:p>
    <w:p>
      <w:pPr>
        <w:pStyle w:val="NurText"/>
        <w:rPr>
          <w:rFonts w:ascii="Scala Sans OT" w:hAnsi="Scala Sans OT"/>
          <w:lang w:val="de-DE"/>
        </w:rPr>
      </w:pPr>
      <w:r>
        <w:rPr>
          <w:rFonts w:ascii="Scala Sans OT" w:hAnsi="Scala Sans OT"/>
          <w:b/>
          <w:lang w:val="de-DE"/>
        </w:rPr>
        <w:t xml:space="preserve">Bewertung: </w:t>
      </w:r>
      <w:r>
        <w:rPr>
          <w:rFonts w:ascii="Scala Sans OT" w:hAnsi="Scala Sans OT"/>
          <w:lang w:val="de-DE"/>
        </w:rPr>
        <w:t>Insgesamt befindet sich derzeit die Mobilität auf dem Niveau des Höhepunkts des 1. Lockdowns (etwa -40% unter dem Jahresmittel 2019).</w:t>
      </w:r>
    </w:p>
    <w:p>
      <w:pPr>
        <w:pStyle w:val="NurText"/>
        <w:rPr>
          <w:rFonts w:ascii="Scala Sans OT" w:hAnsi="Scala Sans OT"/>
          <w:lang w:val="de-DE"/>
        </w:rPr>
      </w:pPr>
      <w:r>
        <w:rPr>
          <w:rFonts w:ascii="Scala Sans OT" w:hAnsi="Scala Sans OT"/>
          <w:lang w:val="de-DE"/>
        </w:rPr>
        <w:t>Allerdings nimmt die Mobilität zu Jahresbeginn typischer-weise deutlich zu, um etwa 20%.</w:t>
      </w:r>
    </w:p>
    <w:p>
      <w:pPr>
        <w:pStyle w:val="NurText"/>
        <w:rPr>
          <w:rFonts w:ascii="Scala Sans OT" w:hAnsi="Scala Sans OT"/>
          <w:lang w:val="de-DE"/>
        </w:rPr>
      </w:pPr>
      <w:r>
        <w:rPr>
          <w:rFonts w:ascii="Scala Sans OT" w:hAnsi="Scala Sans OT"/>
          <w:lang w:val="de-DE"/>
        </w:rPr>
        <w:t xml:space="preserve">Wir erwarten daher eine Zunahme der Mobilität im Januar 2021, bis auf etwa -20% unter dem Normal-niveau, bei sonst gleichbleibenden Rahmenbedingungen (siehe </w:t>
      </w:r>
      <w:r>
        <w:rPr>
          <w:rFonts w:ascii="Scala Sans OT" w:hAnsi="Scala Sans OT"/>
          <w:lang w:val="de-DE"/>
        </w:rPr>
        <w:fldChar w:fldCharType="begin"/>
      </w:r>
      <w:r>
        <w:rPr>
          <w:rFonts w:ascii="Scala Sans OT" w:hAnsi="Scala Sans OT"/>
          <w:lang w:val="de-DE"/>
        </w:rPr>
        <w:instrText xml:space="preserve"> REF _Ref60664738 \h </w:instrText>
      </w:r>
      <w:r>
        <w:rPr>
          <w:rFonts w:ascii="Scala Sans OT" w:hAnsi="Scala Sans OT"/>
          <w:lang w:val="de-DE"/>
        </w:rPr>
      </w:r>
      <w:r>
        <w:rPr>
          <w:rFonts w:ascii="Scala Sans OT" w:hAnsi="Scala Sans OT"/>
          <w:lang w:val="de-DE"/>
        </w:rPr>
        <w:fldChar w:fldCharType="separate"/>
      </w:r>
      <w:r>
        <w:rPr>
          <w:lang w:val="de-DE"/>
        </w:rPr>
        <w:t xml:space="preserve">Abbildung </w:t>
      </w:r>
      <w:r>
        <w:rPr>
          <w:noProof/>
          <w:lang w:val="de-DE"/>
        </w:rPr>
        <w:t>5</w:t>
      </w:r>
      <w:r>
        <w:rPr>
          <w:rFonts w:ascii="Scala Sans OT" w:hAnsi="Scala Sans OT"/>
          <w:lang w:val="de-DE"/>
        </w:rPr>
        <w:fldChar w:fldCharType="end"/>
      </w:r>
      <w:r>
        <w:rPr>
          <w:rFonts w:ascii="Scala Sans OT" w:hAnsi="Scala Sans OT"/>
          <w:lang w:val="de-DE"/>
        </w:rPr>
        <w:t xml:space="preserve">). Abbildung 6 zeigt deutlich, wie die Mobilität ab dem Lockdown am 16.12.2020 abgenommen hat. </w:t>
      </w:r>
    </w:p>
    <w:p>
      <w:pPr>
        <w:pStyle w:val="NurText"/>
        <w:rPr>
          <w:rFonts w:ascii="Scala Sans OT" w:hAnsi="Scala Sans OT"/>
          <w:b/>
          <w:lang w:val="de-DE"/>
        </w:rPr>
      </w:pPr>
    </w:p>
    <w:p>
      <w:pPr>
        <w:pStyle w:val="NurText"/>
        <w:keepNext/>
      </w:pPr>
      <w:r>
        <w:rPr>
          <w:rFonts w:ascii="Scala Sans OT" w:hAnsi="Scala Sans OT"/>
          <w:noProof/>
          <w:lang w:val="de-DE"/>
        </w:rPr>
        <w:drawing>
          <wp:inline distT="0" distB="0" distL="0" distR="0">
            <wp:extent cx="4010025" cy="2357603"/>
            <wp:effectExtent l="0" t="0" r="0" b="508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1294" cy="2370108"/>
                    </a:xfrm>
                    <a:prstGeom prst="rect">
                      <a:avLst/>
                    </a:prstGeom>
                    <a:noFill/>
                  </pic:spPr>
                </pic:pic>
              </a:graphicData>
            </a:graphic>
          </wp:inline>
        </w:drawing>
      </w:r>
    </w:p>
    <w:p>
      <w:pPr>
        <w:pStyle w:val="Beschriftung"/>
        <w:rPr>
          <w:rFonts w:ascii="Scala Sans OT" w:hAnsi="Scala Sans OT"/>
          <w:lang w:val="de-DE"/>
        </w:rPr>
      </w:pPr>
      <w:bookmarkStart w:id="12" w:name="_Ref60664738"/>
      <w:r>
        <w:rPr>
          <w:lang w:val="de-DE"/>
        </w:rPr>
        <w:t xml:space="preserve">Abbildung </w:t>
      </w:r>
      <w:r>
        <w:fldChar w:fldCharType="begin"/>
      </w:r>
      <w:r>
        <w:rPr>
          <w:lang w:val="de-DE"/>
        </w:rPr>
        <w:instrText xml:space="preserve"> SEQ Abbildung \* ARABIC </w:instrText>
      </w:r>
      <w:r>
        <w:fldChar w:fldCharType="separate"/>
      </w:r>
      <w:r>
        <w:rPr>
          <w:noProof/>
          <w:lang w:val="de-DE"/>
        </w:rPr>
        <w:t>5</w:t>
      </w:r>
      <w:r>
        <w:fldChar w:fldCharType="end"/>
      </w:r>
      <w:bookmarkEnd w:id="12"/>
      <w:r>
        <w:rPr>
          <w:lang w:val="de-DE"/>
        </w:rPr>
        <w:t>: Vergleich der Mobilität Frühjahr/Dezember 2020</w:t>
      </w:r>
    </w:p>
    <w:p>
      <w:pPr>
        <w:pStyle w:val="NurText"/>
        <w:keepNext/>
      </w:pPr>
      <w:r>
        <w:rPr>
          <w:noProof/>
        </w:rPr>
        <w:drawing>
          <wp:inline distT="0" distB="0" distL="0" distR="0">
            <wp:extent cx="4829175" cy="2612178"/>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36590" cy="2616189"/>
                    </a:xfrm>
                    <a:prstGeom prst="rect">
                      <a:avLst/>
                    </a:prstGeom>
                  </pic:spPr>
                </pic:pic>
              </a:graphicData>
            </a:graphic>
          </wp:inline>
        </w:drawing>
      </w:r>
    </w:p>
    <w:p>
      <w:pPr>
        <w:pStyle w:val="Beschriftung"/>
        <w:rPr>
          <w:lang w:val="de-DE"/>
        </w:rPr>
      </w:pPr>
      <w:r>
        <w:rPr>
          <w:lang w:val="de-DE"/>
        </w:rPr>
        <w:t xml:space="preserve">Abbildung </w:t>
      </w:r>
      <w:r>
        <w:fldChar w:fldCharType="begin"/>
      </w:r>
      <w:r>
        <w:rPr>
          <w:lang w:val="de-DE"/>
        </w:rPr>
        <w:instrText xml:space="preserve"> SEQ Abbildung \* ARABIC </w:instrText>
      </w:r>
      <w:r>
        <w:fldChar w:fldCharType="separate"/>
      </w:r>
      <w:r>
        <w:rPr>
          <w:noProof/>
          <w:lang w:val="de-DE"/>
        </w:rPr>
        <w:t>6</w:t>
      </w:r>
      <w:r>
        <w:fldChar w:fldCharType="end"/>
      </w:r>
      <w:r>
        <w:rPr>
          <w:lang w:val="de-DE"/>
        </w:rPr>
        <w:t>: Deutschlandweite Mobilität im Dezember 2020</w:t>
      </w:r>
    </w:p>
    <w:p>
      <w:pPr>
        <w:spacing w:line="240" w:lineRule="auto"/>
        <w:rPr>
          <w:rFonts w:ascii="Scala Sans OT" w:eastAsiaTheme="minorHAnsi" w:hAnsi="Scala Sans OT"/>
          <w:sz w:val="22"/>
          <w:szCs w:val="22"/>
          <w:lang w:eastAsia="en-US"/>
        </w:rPr>
      </w:pPr>
      <w:r>
        <w:rPr>
          <w:rFonts w:ascii="Scala Sans OT" w:eastAsiaTheme="minorHAnsi" w:hAnsi="Scala Sans OT"/>
          <w:sz w:val="22"/>
          <w:szCs w:val="22"/>
          <w:lang w:eastAsia="en-US"/>
        </w:rPr>
        <w:t xml:space="preserve">Im Dezember 2020 ist eine erhöhte Reise-Mobilität (Bewegung zwischen Landkreisen) in vielen typischen Reiseregionen erkennbar: Mecklenburgische Seenplatte, Ostsee, Harz, Allgäu etc.) (siehe </w:t>
      </w:r>
      <w:r>
        <w:rPr>
          <w:rFonts w:ascii="Scala Sans OT" w:eastAsiaTheme="minorHAnsi" w:hAnsi="Scala Sans OT"/>
          <w:sz w:val="22"/>
          <w:szCs w:val="22"/>
          <w:lang w:eastAsia="en-US"/>
        </w:rPr>
        <w:fldChar w:fldCharType="begin"/>
      </w:r>
      <w:r>
        <w:rPr>
          <w:rFonts w:ascii="Scala Sans OT" w:eastAsiaTheme="minorHAnsi" w:hAnsi="Scala Sans OT"/>
          <w:sz w:val="22"/>
          <w:szCs w:val="22"/>
          <w:lang w:eastAsia="en-US"/>
        </w:rPr>
        <w:instrText xml:space="preserve"> REF _Ref60665029 \h </w:instrText>
      </w:r>
      <w:r>
        <w:rPr>
          <w:rFonts w:ascii="Scala Sans OT" w:eastAsiaTheme="minorHAnsi" w:hAnsi="Scala Sans OT"/>
          <w:sz w:val="22"/>
          <w:szCs w:val="22"/>
          <w:lang w:eastAsia="en-US"/>
        </w:rPr>
      </w:r>
      <w:r>
        <w:rPr>
          <w:rFonts w:ascii="Scala Sans OT" w:eastAsiaTheme="minorHAnsi" w:hAnsi="Scala Sans OT"/>
          <w:sz w:val="22"/>
          <w:szCs w:val="22"/>
          <w:lang w:eastAsia="en-US"/>
        </w:rPr>
        <w:instrText xml:space="preserve"> \* MERGEFORMAT </w:instrText>
      </w:r>
      <w:r>
        <w:rPr>
          <w:rFonts w:ascii="Scala Sans OT" w:eastAsiaTheme="minorHAnsi" w:hAnsi="Scala Sans OT"/>
          <w:sz w:val="22"/>
          <w:szCs w:val="22"/>
          <w:lang w:eastAsia="en-US"/>
        </w:rPr>
        <w:fldChar w:fldCharType="separate"/>
      </w:r>
      <w:r>
        <w:rPr>
          <w:rFonts w:ascii="Scala Sans OT" w:hAnsi="Scala Sans OT"/>
          <w:sz w:val="22"/>
          <w:szCs w:val="22"/>
        </w:rPr>
        <w:t xml:space="preserve">Abbildung </w:t>
      </w:r>
      <w:r>
        <w:rPr>
          <w:rFonts w:ascii="Scala Sans OT" w:hAnsi="Scala Sans OT"/>
          <w:noProof/>
          <w:sz w:val="22"/>
          <w:szCs w:val="22"/>
        </w:rPr>
        <w:t>7</w:t>
      </w:r>
      <w:r>
        <w:rPr>
          <w:rFonts w:ascii="Scala Sans OT" w:eastAsiaTheme="minorHAnsi" w:hAnsi="Scala Sans OT"/>
          <w:sz w:val="22"/>
          <w:szCs w:val="22"/>
          <w:lang w:eastAsia="en-US"/>
        </w:rPr>
        <w:fldChar w:fldCharType="end"/>
      </w:r>
      <w:r>
        <w:rPr>
          <w:rFonts w:ascii="Scala Sans OT" w:eastAsiaTheme="minorHAnsi" w:hAnsi="Scala Sans OT"/>
          <w:sz w:val="22"/>
          <w:szCs w:val="22"/>
          <w:lang w:eastAsia="en-US"/>
        </w:rPr>
        <w:t>).</w:t>
      </w:r>
    </w:p>
    <w:p>
      <w:pPr>
        <w:keepNext/>
      </w:pPr>
      <w:r>
        <w:rPr>
          <w:noProof/>
        </w:rPr>
        <w:drawing>
          <wp:inline distT="0" distB="0" distL="0" distR="0">
            <wp:extent cx="7079586" cy="3629025"/>
            <wp:effectExtent l="0" t="0" r="762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76"/>
                    <a:stretch/>
                  </pic:blipFill>
                  <pic:spPr bwMode="auto">
                    <a:xfrm>
                      <a:off x="0" y="0"/>
                      <a:ext cx="7083968" cy="3631271"/>
                    </a:xfrm>
                    <a:prstGeom prst="rect">
                      <a:avLst/>
                    </a:prstGeom>
                    <a:ln>
                      <a:noFill/>
                    </a:ln>
                    <a:extLst>
                      <a:ext uri="{53640926-AAD7-44D8-BBD7-CCE9431645EC}">
                        <a14:shadowObscured xmlns:a14="http://schemas.microsoft.com/office/drawing/2010/main"/>
                      </a:ext>
                    </a:extLst>
                  </pic:spPr>
                </pic:pic>
              </a:graphicData>
            </a:graphic>
          </wp:inline>
        </w:drawing>
      </w:r>
    </w:p>
    <w:p>
      <w:pPr>
        <w:pStyle w:val="Beschriftung"/>
      </w:pPr>
      <w:bookmarkStart w:id="13" w:name="_Ref60665029"/>
      <w:proofErr w:type="spellStart"/>
      <w:r>
        <w:t>Abbildung</w:t>
      </w:r>
      <w:proofErr w:type="spellEnd"/>
      <w:r>
        <w:t xml:space="preserve"> </w:t>
      </w:r>
      <w:r>
        <w:fldChar w:fldCharType="begin"/>
      </w:r>
      <w:r>
        <w:instrText xml:space="preserve"> SEQ Abbildung \* ARABIC </w:instrText>
      </w:r>
      <w:r>
        <w:fldChar w:fldCharType="separate"/>
      </w:r>
      <w:r>
        <w:rPr>
          <w:noProof/>
        </w:rPr>
        <w:t>7</w:t>
      </w:r>
      <w:r>
        <w:fldChar w:fldCharType="end"/>
      </w:r>
      <w:bookmarkEnd w:id="13"/>
      <w:r>
        <w:t xml:space="preserve">: </w:t>
      </w:r>
      <w:proofErr w:type="spellStart"/>
      <w:r>
        <w:t>Ausflugstourismus</w:t>
      </w:r>
      <w:proofErr w:type="spellEnd"/>
      <w:r>
        <w:t xml:space="preserve"> </w:t>
      </w:r>
      <w:proofErr w:type="spellStart"/>
      <w:r>
        <w:t>im</w:t>
      </w:r>
      <w:proofErr w:type="spellEnd"/>
      <w:r>
        <w:t xml:space="preserve"> </w:t>
      </w:r>
      <w:proofErr w:type="spellStart"/>
      <w:r>
        <w:t>Dezember</w:t>
      </w:r>
      <w:proofErr w:type="spellEnd"/>
      <w:r>
        <w:t xml:space="preserve"> 2020</w:t>
      </w:r>
    </w:p>
    <w:p>
      <w:pPr>
        <w:pStyle w:val="NurText"/>
        <w:rPr>
          <w:rFonts w:ascii="Scala Sans OT" w:hAnsi="Scala Sans OT"/>
          <w:lang w:val="de-DE"/>
        </w:rPr>
      </w:pPr>
    </w:p>
    <w:p>
      <w:pPr>
        <w:pStyle w:val="NurText"/>
        <w:rPr>
          <w:rFonts w:ascii="Scala Sans OT" w:hAnsi="Scala Sans OT"/>
          <w:lang w:val="de-DE"/>
        </w:rPr>
      </w:pPr>
    </w:p>
    <w:p>
      <w:pPr>
        <w:pStyle w:val="NurText"/>
        <w:rPr>
          <w:rFonts w:ascii="Scala Sans OT" w:hAnsi="Scala Sans OT"/>
          <w:lang w:val="de-DE"/>
        </w:rPr>
      </w:pPr>
    </w:p>
    <w:p>
      <w:pPr>
        <w:pStyle w:val="NurText"/>
        <w:rPr>
          <w:rFonts w:ascii="Scala Sans OT" w:hAnsi="Scala Sans OT"/>
          <w:lang w:val="de-DE"/>
        </w:rPr>
      </w:pPr>
    </w:p>
    <w:p>
      <w:pPr>
        <w:pStyle w:val="NurText"/>
        <w:rPr>
          <w:rFonts w:ascii="Scala Sans OT" w:hAnsi="Scala Sans OT"/>
          <w:lang w:val="de-DE"/>
        </w:rPr>
      </w:pPr>
    </w:p>
    <w:p>
      <w:pPr>
        <w:pStyle w:val="NurText"/>
        <w:rPr>
          <w:rFonts w:ascii="Scala Sans OT" w:hAnsi="Scala Sans OT"/>
          <w:lang w:val="de-DE"/>
        </w:rPr>
      </w:pPr>
    </w:p>
    <w:p>
      <w:pPr>
        <w:pStyle w:val="NurText"/>
        <w:rPr>
          <w:rFonts w:ascii="Scala Sans OT" w:hAnsi="Scala Sans OT"/>
          <w:lang w:val="de-DE"/>
        </w:rPr>
      </w:pPr>
    </w:p>
    <w:p>
      <w:pPr>
        <w:pStyle w:val="NurText"/>
        <w:rPr>
          <w:rFonts w:ascii="Scala Sans OT" w:hAnsi="Scala Sans OT"/>
          <w:lang w:val="de-DE"/>
        </w:rPr>
      </w:pPr>
    </w:p>
    <w:p>
      <w:pPr>
        <w:pStyle w:val="NurText"/>
        <w:rPr>
          <w:rFonts w:ascii="Scala Sans OT" w:hAnsi="Scala Sans OT"/>
          <w:lang w:val="de-DE"/>
        </w:rPr>
      </w:pPr>
    </w:p>
    <w:p>
      <w:pPr>
        <w:pStyle w:val="NurText"/>
        <w:rPr>
          <w:rFonts w:ascii="Scala Sans OT" w:hAnsi="Scala Sans OT"/>
          <w:lang w:val="de-DE"/>
        </w:rPr>
      </w:pPr>
    </w:p>
    <w:p>
      <w:pPr>
        <w:pStyle w:val="NurText"/>
        <w:rPr>
          <w:rFonts w:ascii="Scala Sans OT" w:hAnsi="Scala Sans OT"/>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i/>
          <w:lang w:val="de-DE"/>
        </w:rPr>
      </w:pPr>
    </w:p>
    <w:p>
      <w:pPr>
        <w:pStyle w:val="NurText"/>
        <w:rPr>
          <w:rFonts w:ascii="Scala Sans OT" w:hAnsi="Scala Sans OT"/>
          <w:lang w:val="de-DE"/>
        </w:rPr>
      </w:pPr>
    </w:p>
    <w:p>
      <w:pPr>
        <w:pStyle w:val="NurText"/>
        <w:rPr>
          <w:rFonts w:ascii="Scala Sans OT" w:hAnsi="Scala Sans OT"/>
          <w:lang w:val="de-DE"/>
        </w:rPr>
      </w:pPr>
    </w:p>
    <w:p>
      <w:pPr>
        <w:rPr>
          <w:rFonts w:ascii="Scala Sans OT" w:hAnsi="Scala Sans OT"/>
        </w:rPr>
      </w:pPr>
    </w:p>
    <w:p>
      <w:pPr>
        <w:rPr>
          <w:rFonts w:ascii="Scala Sans OT" w:hAnsi="Scala Sans OT"/>
        </w:rPr>
      </w:pPr>
      <w:r>
        <w:rPr>
          <w:rFonts w:ascii="Scala Sans OT" w:hAnsi="Scala Sans OT"/>
          <w:noProof/>
        </w:rPr>
        <mc:AlternateContent>
          <mc:Choice Requires="wps">
            <w:drawing>
              <wp:anchor distT="0" distB="0" distL="114300" distR="114300" simplePos="0" relativeHeight="251670528" behindDoc="0" locked="1" layoutInCell="1" allowOverlap="1">
                <wp:simplePos x="0" y="0"/>
                <wp:positionH relativeFrom="column">
                  <wp:posOffset>-914400</wp:posOffset>
                </wp:positionH>
                <wp:positionV relativeFrom="page">
                  <wp:posOffset>212725</wp:posOffset>
                </wp:positionV>
                <wp:extent cx="7673340" cy="457200"/>
                <wp:effectExtent l="0" t="0" r="0" b="0"/>
                <wp:wrapNone/>
                <wp:docPr id="9" name="Rechteck 9"/>
                <wp:cNvGraphicFramePr/>
                <a:graphic xmlns:a="http://schemas.openxmlformats.org/drawingml/2006/main">
                  <a:graphicData uri="http://schemas.microsoft.com/office/word/2010/wordprocessingShape">
                    <wps:wsp>
                      <wps:cNvSpPr/>
                      <wps:spPr>
                        <a:xfrm>
                          <a:off x="0" y="0"/>
                          <a:ext cx="7673340" cy="457200"/>
                        </a:xfrm>
                        <a:prstGeom prst="rect">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 o:spid="_x0000_s1026" style="position:absolute;margin-left:-1in;margin-top:16.75pt;width:604.2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" fillcolor="white [3212]" stroked="f">
                <w10:wrap anchory="page"/>
                <w10:anchorlock/>
              </v:rect>
            </w:pict>
          </mc:Fallback>
        </mc:AlternateContent>
      </w:r>
      <w:r>
        <w:rPr>
          <w:rFonts w:ascii="Scala Sans OT" w:hAnsi="Scala Sans OT"/>
          <w:noProof/>
        </w:rPr>
        <mc:AlternateContent>
          <mc:Choice Requires="wps">
            <w:drawing>
              <wp:anchor distT="0" distB="0" distL="114300" distR="114300" simplePos="0" relativeHeight="251667456" behindDoc="1" locked="1" layoutInCell="1" allowOverlap="1">
                <wp:simplePos x="0" y="0"/>
                <wp:positionH relativeFrom="page">
                  <wp:align>right</wp:align>
                </wp:positionH>
                <wp:positionV relativeFrom="page">
                  <wp:posOffset>2413000</wp:posOffset>
                </wp:positionV>
                <wp:extent cx="6659880" cy="6999605"/>
                <wp:effectExtent l="0" t="0" r="7620" b="0"/>
                <wp:wrapNone/>
                <wp:docPr id="12" name="Textfeld 12"/>
                <wp:cNvGraphicFramePr/>
                <a:graphic xmlns:a="http://schemas.openxmlformats.org/drawingml/2006/main">
                  <a:graphicData uri="http://schemas.microsoft.com/office/word/2010/wordprocessingShape">
                    <wps:wsp>
                      <wps:cNvSpPr txBox="1"/>
                      <wps:spPr>
                        <a:xfrm>
                          <a:off x="0" y="0"/>
                          <a:ext cx="6659880" cy="6999605"/>
                        </a:xfrm>
                        <a:prstGeom prst="rect">
                          <a:avLst/>
                        </a:prstGeom>
                        <a:solidFill>
                          <a:srgbClr val="045AA6"/>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pPr>
                              <w:pStyle w:val="TextU4"/>
                              <w:rPr>
                                <w:rFonts w:ascii="Scala Sans OT" w:hAnsi="Scala Sans OT"/>
                                <w:lang w:val="en-US"/>
                              </w:rPr>
                            </w:pPr>
                          </w:p>
                        </w:txbxContent>
                      </wps:txbx>
                      <wps:bodyPr rot="0" spcFirstLastPara="0" vertOverflow="overflow" horzOverflow="overflow" vert="horz" wrap="square" lIns="684000" tIns="3834000" rIns="1224000" bIns="72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27" type="#_x0000_t202" style="position:absolute;left:0;text-align:left;margin-left:473.2pt;margin-top:190pt;width:524.4pt;height:551.15pt;z-index:-25164902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" fillcolor="#045aa6" stroked="f">
                <v:textbox inset="19mm,106.5mm,34mm,20mm">
                  <w:txbxContent>
                    <w:p>
                      <w:pPr>
                        <w:pStyle w:val="TextU4"/>
                        <w:rPr>
                          <w:rFonts w:ascii="Scala Sans OT" w:hAnsi="Scala Sans OT"/>
                          <w:lang w:val="en-US"/>
                        </w:rPr>
                      </w:pPr>
                    </w:p>
                  </w:txbxContent>
                </v:textbox>
                <w10:wrap anchorx="page" anchory="page"/>
                <w10:anchorlock/>
              </v:shape>
            </w:pict>
          </mc:Fallback>
        </mc:AlternateContent>
      </w:r>
    </w:p>
    <w:sectPr>
      <w:headerReference w:type="even" r:id="rId18"/>
      <w:headerReference w:type="default" r:id="rId19"/>
      <w:pgSz w:w="11900" w:h="16840"/>
      <w:pgMar w:top="1418" w:right="1268" w:bottom="1134" w:left="1418" w:header="434"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p/>
    <w:p/>
    <w:p/>
  </w:endnote>
  <w:endnote w:type="continuationSeparator" w:id="0">
    <w:p>
      <w:r>
        <w:continuationSeparator/>
      </w:r>
    </w:p>
    <w:p/>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Yu Gothic"/>
    <w:panose1 w:val="02020609040205080304"/>
    <w:charset w:val="80"/>
    <w:family w:val="roman"/>
    <w:notTrueType/>
    <w:pitch w:val="fixed"/>
    <w:sig w:usb0="00000000" w:usb1="08070000" w:usb2="00000010" w:usb3="00000000" w:csb0="00020000" w:csb1="00000000"/>
  </w:font>
  <w:font w:name="ScalaSansPro-Regular">
    <w:altName w:val="Calibri"/>
    <w:panose1 w:val="00000000000000000000"/>
    <w:charset w:val="00"/>
    <w:family w:val="modern"/>
    <w:notTrueType/>
    <w:pitch w:val="variable"/>
    <w:sig w:usb0="00000001" w:usb1="4000E04A" w:usb2="00000000" w:usb3="00000000" w:csb0="00000093" w:csb1="00000000"/>
  </w:font>
  <w:font w:name="ScalaSansPro-Bold">
    <w:altName w:val="Arial"/>
    <w:panose1 w:val="00000000000000000000"/>
    <w:charset w:val="00"/>
    <w:family w:val="modern"/>
    <w:notTrueType/>
    <w:pitch w:val="variable"/>
    <w:sig w:usb0="800000AF" w:usb1="4000A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egoe UI"/>
    <w:charset w:val="00"/>
    <w:family w:val="auto"/>
    <w:pitch w:val="variable"/>
    <w:sig w:usb0="00000000" w:usb1="5000A1FF" w:usb2="00000000" w:usb3="00000000" w:csb0="000001BF" w:csb1="00000000"/>
  </w:font>
  <w:font w:name="Scala Sans OT">
    <w:panose1 w:val="020B0504030101020104"/>
    <w:charset w:val="00"/>
    <w:family w:val="swiss"/>
    <w:pitch w:val="variable"/>
    <w:sig w:usb0="A00000EF" w:usb1="5000E05B"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p/>
    <w:p/>
    <w:p/>
  </w:footnote>
  <w:footnote w:type="continuationSeparator" w:id="0">
    <w:p>
      <w:r>
        <w:continuationSeparator/>
      </w:r>
    </w:p>
    <w:p/>
    <w:p/>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NurText"/>
      <w:rPr>
        <w:rFonts w:ascii="Scala Sans OT" w:eastAsiaTheme="minorEastAsia" w:hAnsi="Scala Sans OT"/>
        <w:color w:val="045AA6"/>
        <w:sz w:val="16"/>
        <w:szCs w:val="16"/>
        <w:lang w:val="de-DE" w:eastAsia="de-DE"/>
      </w:rPr>
    </w:pPr>
    <w:r>
      <w:rPr>
        <w:rFonts w:ascii="Scala Sans OT" w:eastAsiaTheme="minorEastAsia" w:hAnsi="Scala Sans OT"/>
        <w:color w:val="045AA6"/>
        <w:sz w:val="16"/>
        <w:szCs w:val="16"/>
        <w:lang w:val="de-DE" w:eastAsia="de-DE"/>
      </w:rPr>
      <mc:AlternateContent>
        <mc:Choice Requires="wps">
          <w:drawing>
            <wp:anchor distT="0" distB="0" distL="114300" distR="114300" simplePos="0" relativeHeight="251770880" behindDoc="0" locked="1" layoutInCell="1" allowOverlap="1">
              <wp:simplePos x="0" y="0"/>
              <wp:positionH relativeFrom="column">
                <wp:posOffset>-914400</wp:posOffset>
              </wp:positionH>
              <wp:positionV relativeFrom="page">
                <wp:posOffset>248920</wp:posOffset>
              </wp:positionV>
              <wp:extent cx="669290" cy="194310"/>
              <wp:effectExtent l="0" t="0" r="0" b="8890"/>
              <wp:wrapNone/>
              <wp:docPr id="15" name="Textfeld 15"/>
              <wp:cNvGraphicFramePr/>
              <a:graphic xmlns:a="http://schemas.openxmlformats.org/drawingml/2006/main">
                <a:graphicData uri="http://schemas.microsoft.com/office/word/2010/wordprocessingShape">
                  <wps:wsp>
                    <wps:cNvSpPr txBox="1"/>
                    <wps:spPr>
                      <a:xfrm>
                        <a:off x="0" y="0"/>
                        <a:ext cx="669290" cy="19431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pPr>
                            <w:pStyle w:val="RKISeitenzahllinke"/>
                            <w:rPr>
                              <w:rFonts w:ascii="Scala Sans OT" w:hAnsi="Scala Sans OT"/>
                            </w:rPr>
                          </w:pPr>
                          <w:r>
                            <w:rPr>
                              <w:rFonts w:ascii="Scala Sans OT" w:hAnsi="Scala Sans OT"/>
                            </w:rPr>
                            <w:fldChar w:fldCharType="begin"/>
                          </w:r>
                          <w:r>
                            <w:rPr>
                              <w:rFonts w:ascii="Scala Sans OT" w:hAnsi="Scala Sans OT"/>
                            </w:rPr>
                            <w:instrText xml:space="preserve"> PAGE  \* MERGEFORMAT </w:instrText>
                          </w:r>
                          <w:r>
                            <w:rPr>
                              <w:rFonts w:ascii="Scala Sans OT" w:hAnsi="Scala Sans OT"/>
                            </w:rPr>
                            <w:fldChar w:fldCharType="separate"/>
                          </w:r>
                          <w:r>
                            <w:rPr>
                              <w:rFonts w:ascii="Scala Sans OT" w:hAnsi="Scala Sans OT"/>
                              <w:noProof/>
                            </w:rPr>
                            <w:t>2</w:t>
                          </w:r>
                          <w:r>
                            <w:rPr>
                              <w:rFonts w:ascii="Scala Sans OT" w:hAnsi="Scala Sans OT"/>
                            </w:rPr>
                            <w:fldChar w:fldCharType="end"/>
                          </w:r>
                        </w:p>
                      </w:txbxContent>
                    </wps:txbx>
                    <wps:bodyPr rot="0" spcFirstLastPara="0" vertOverflow="overflow" horzOverflow="overflow" vert="horz" wrap="square" lIns="91440" tIns="324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5" o:spid="_x0000_s1028" type="#_x0000_t202" style="position:absolute;margin-left:-1in;margin-top:19.6pt;width:52.7pt;height:15.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" filled="f" stroked="f">
              <v:textbox inset=",.9mm,,0">
                <w:txbxContent>
                  <w:p>
                    <w:pPr>
                      <w:pStyle w:val="RKISeitenzahllinke"/>
                      <w:rPr>
                        <w:rFonts w:ascii="Scala Sans OT" w:hAnsi="Scala Sans OT"/>
                      </w:rPr>
                    </w:pPr>
                    <w:r>
                      <w:rPr>
                        <w:rFonts w:ascii="Scala Sans OT" w:hAnsi="Scala Sans OT"/>
                      </w:rPr>
                      <w:fldChar w:fldCharType="begin"/>
                    </w:r>
                    <w:r>
                      <w:rPr>
                        <w:rFonts w:ascii="Scala Sans OT" w:hAnsi="Scala Sans OT"/>
                      </w:rPr>
                      <w:instrText xml:space="preserve"> PAGE  \* MERGEFORMAT </w:instrText>
                    </w:r>
                    <w:r>
                      <w:rPr>
                        <w:rFonts w:ascii="Scala Sans OT" w:hAnsi="Scala Sans OT"/>
                      </w:rPr>
                      <w:fldChar w:fldCharType="separate"/>
                    </w:r>
                    <w:r>
                      <w:rPr>
                        <w:rFonts w:ascii="Scala Sans OT" w:hAnsi="Scala Sans OT"/>
                        <w:noProof/>
                      </w:rPr>
                      <w:t>2</w:t>
                    </w:r>
                    <w:r>
                      <w:rPr>
                        <w:rFonts w:ascii="Scala Sans OT" w:hAnsi="Scala Sans OT"/>
                      </w:rPr>
                      <w:fldChar w:fldCharType="end"/>
                    </w:r>
                  </w:p>
                </w:txbxContent>
              </v:textbox>
              <w10:wrap anchory="page"/>
              <w10:anchorlock/>
            </v:shape>
          </w:pict>
        </mc:Fallback>
      </mc:AlternateContent>
    </w:r>
    <w:r>
      <w:rPr>
        <w:rFonts w:ascii="Scala Sans OT" w:eastAsiaTheme="minorEastAsia" w:hAnsi="Scala Sans OT"/>
        <w:color w:val="045AA6"/>
        <w:sz w:val="16"/>
        <w:szCs w:val="16"/>
        <w:lang w:val="de-DE" w:eastAsia="de-DE"/>
      </w:rPr>
      <mc:AlternateContent>
        <mc:Choice Requires="wps">
          <w:drawing>
            <wp:anchor distT="0" distB="0" distL="114300" distR="114300" simplePos="0" relativeHeight="251618304" behindDoc="1" locked="1" layoutInCell="1" allowOverlap="1">
              <wp:simplePos x="0" y="0"/>
              <wp:positionH relativeFrom="column">
                <wp:posOffset>-906145</wp:posOffset>
              </wp:positionH>
              <wp:positionV relativeFrom="page">
                <wp:posOffset>250825</wp:posOffset>
              </wp:positionV>
              <wp:extent cx="666000" cy="180000"/>
              <wp:effectExtent l="0" t="0" r="0" b="0"/>
              <wp:wrapNone/>
              <wp:docPr id="11" name="Rechteck 11"/>
              <wp:cNvGraphicFramePr/>
              <a:graphic xmlns:a="http://schemas.openxmlformats.org/drawingml/2006/main">
                <a:graphicData uri="http://schemas.microsoft.com/office/word/2010/wordprocessingShape">
                  <wps:wsp>
                    <wps:cNvSpPr/>
                    <wps:spPr>
                      <a:xfrm>
                        <a:off x="0" y="0"/>
                        <a:ext cx="666000" cy="180000"/>
                      </a:xfrm>
                      <a:prstGeom prst="rect">
                        <a:avLst/>
                      </a:prstGeom>
                      <a:solidFill>
                        <a:srgbClr val="045AA6"/>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1" o:spid="_x0000_s1026" style="position:absolute;margin-left:-71.35pt;margin-top:19.75pt;width:52.45pt;height:14.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" fillcolor="#045aa6" stroked="f">
              <w10:wrap anchory="page"/>
              <w10:anchorlock/>
            </v:rect>
          </w:pict>
        </mc:Fallback>
      </mc:AlternateContent>
    </w:r>
    <w:r>
      <w:rPr>
        <w:rFonts w:ascii="Scala Sans OT" w:eastAsiaTheme="minorEastAsia" w:hAnsi="Scala Sans OT"/>
        <w:color w:val="045AA6"/>
        <w:sz w:val="16"/>
        <w:szCs w:val="16"/>
        <w:lang w:val="de-DE" w:eastAsia="de-DE"/>
      </w:rPr>
      <mc:AlternateContent>
        <mc:Choice Requires="wps">
          <w:drawing>
            <wp:anchor distT="0" distB="0" distL="114300" distR="114300" simplePos="0" relativeHeight="251694080" behindDoc="1" locked="1" layoutInCell="1" allowOverlap="1">
              <wp:simplePos x="0" y="0"/>
              <wp:positionH relativeFrom="column">
                <wp:posOffset>-914400</wp:posOffset>
              </wp:positionH>
              <wp:positionV relativeFrom="page">
                <wp:posOffset>431800</wp:posOffset>
              </wp:positionV>
              <wp:extent cx="7086600" cy="0"/>
              <wp:effectExtent l="0" t="0" r="25400" b="25400"/>
              <wp:wrapNone/>
              <wp:docPr id="7" name="Gerade Verbindung 7"/>
              <wp:cNvGraphicFramePr/>
              <a:graphic xmlns:a="http://schemas.openxmlformats.org/drawingml/2006/main">
                <a:graphicData uri="http://schemas.microsoft.com/office/word/2010/wordprocessingShape">
                  <wps:wsp>
                    <wps:cNvCnPr/>
                    <wps:spPr>
                      <a:xfrm>
                        <a:off x="0" y="0"/>
                        <a:ext cx="7086600" cy="0"/>
                      </a:xfrm>
                      <a:prstGeom prst="line">
                        <a:avLst/>
                      </a:prstGeom>
                      <a:ln w="12700">
                        <a:solidFill>
                          <a:srgbClr val="045AA6"/>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7"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34pt" to="48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" strokecolor="#045aa6" strokeweight="1pt">
              <w10:wrap anchory="page"/>
              <w10:anchorlock/>
            </v:line>
          </w:pict>
        </mc:Fallback>
      </mc:AlternateContent>
    </w:r>
    <w:proofErr w:type="spellStart"/>
    <w:r>
      <w:rPr>
        <w:rFonts w:ascii="Scala Sans OT" w:eastAsiaTheme="minorEastAsia" w:hAnsi="Scala Sans OT"/>
        <w:color w:val="045AA6"/>
        <w:sz w:val="16"/>
        <w:szCs w:val="16"/>
        <w:lang w:val="de-DE" w:eastAsia="de-DE"/>
      </w:rPr>
      <w:t>Einschätzung</w:t>
    </w:r>
    <w:proofErr w:type="spellEnd"/>
    <w:r>
      <w:rPr>
        <w:rFonts w:ascii="Scala Sans OT" w:eastAsiaTheme="minorEastAsia" w:hAnsi="Scala Sans OT"/>
        <w:color w:val="045AA6"/>
        <w:sz w:val="16"/>
        <w:szCs w:val="16"/>
        <w:lang w:val="de-DE" w:eastAsia="de-DE"/>
      </w:rPr>
      <w:t xml:space="preserve"> der </w:t>
    </w:r>
    <w:proofErr w:type="spellStart"/>
    <w:r>
      <w:rPr>
        <w:rFonts w:ascii="Scala Sans OT" w:eastAsiaTheme="minorEastAsia" w:hAnsi="Scala Sans OT"/>
        <w:color w:val="045AA6"/>
        <w:sz w:val="16"/>
        <w:szCs w:val="16"/>
        <w:lang w:val="de-DE" w:eastAsia="de-DE"/>
      </w:rPr>
      <w:t>aktuellen</w:t>
    </w:r>
    <w:proofErr w:type="spellEnd"/>
    <w:r>
      <w:rPr>
        <w:rFonts w:ascii="Scala Sans OT" w:eastAsiaTheme="minorEastAsia" w:hAnsi="Scala Sans OT"/>
        <w:color w:val="045AA6"/>
        <w:sz w:val="16"/>
        <w:szCs w:val="16"/>
        <w:lang w:val="de-DE" w:eastAsia="de-DE"/>
      </w:rPr>
      <w:t xml:space="preserve"> Lage</w:t>
    </w:r>
  </w:p>
  <w:p>
    <w:pPr>
      <w:pStyle w:val="Kopfzeile"/>
      <w:ind w:firstLine="14"/>
      <w:rPr>
        <w:rFonts w:ascii="Scala Sans OT" w:hAnsi="Scala Sans O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RKISeitenzahllinke"/>
      <w:framePr w:wrap="around"/>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pPr>
      <w:pStyle w:val="Kopfzeile"/>
      <w:ind w:left="-181" w:right="0" w:firstLine="360"/>
      <w:jc w:val="right"/>
      <w:rPr>
        <w:rFonts w:ascii="Scala Sans OT" w:hAnsi="Scala Sans OT"/>
      </w:rPr>
    </w:pPr>
    <w:r>
      <w:rPr>
        <w:rFonts w:ascii="Scala Sans OT" w:hAnsi="Scala Sans OT"/>
        <w:noProof/>
      </w:rPr>
      <mc:AlternateContent>
        <mc:Choice Requires="wps">
          <w:drawing>
            <wp:anchor distT="0" distB="0" distL="114300" distR="114300" simplePos="0" relativeHeight="251666432" behindDoc="0" locked="1" layoutInCell="1" allowOverlap="1">
              <wp:simplePos x="0" y="0"/>
              <wp:positionH relativeFrom="column">
                <wp:posOffset>5998210</wp:posOffset>
              </wp:positionH>
              <wp:positionV relativeFrom="page">
                <wp:posOffset>248920</wp:posOffset>
              </wp:positionV>
              <wp:extent cx="631190" cy="189230"/>
              <wp:effectExtent l="0" t="0" r="0" b="13970"/>
              <wp:wrapNone/>
              <wp:docPr id="18" name="Textfeld 18"/>
              <wp:cNvGraphicFramePr/>
              <a:graphic xmlns:a="http://schemas.openxmlformats.org/drawingml/2006/main">
                <a:graphicData uri="http://schemas.microsoft.com/office/word/2010/wordprocessingShape">
                  <wps:wsp>
                    <wps:cNvSpPr txBox="1"/>
                    <wps:spPr>
                      <a:xfrm>
                        <a:off x="0" y="0"/>
                        <a:ext cx="631190" cy="18923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pPr>
                            <w:pStyle w:val="RKISeitenzahlrechte"/>
                            <w:rPr>
                              <w:rFonts w:ascii="Scala Sans OT" w:hAnsi="Scala Sans OT"/>
                            </w:rPr>
                          </w:pPr>
                          <w:r>
                            <w:rPr>
                              <w:rFonts w:ascii="Scala Sans OT" w:hAnsi="Scala Sans OT"/>
                            </w:rPr>
                            <w:fldChar w:fldCharType="begin"/>
                          </w:r>
                          <w:r>
                            <w:rPr>
                              <w:rFonts w:ascii="Scala Sans OT" w:hAnsi="Scala Sans OT"/>
                            </w:rPr>
                            <w:instrText xml:space="preserve"> PAGE  \* MERGEFORMAT </w:instrText>
                          </w:r>
                          <w:r>
                            <w:rPr>
                              <w:rFonts w:ascii="Scala Sans OT" w:hAnsi="Scala Sans OT"/>
                            </w:rPr>
                            <w:fldChar w:fldCharType="separate"/>
                          </w:r>
                          <w:r>
                            <w:rPr>
                              <w:rFonts w:ascii="Scala Sans OT" w:hAnsi="Scala Sans OT"/>
                              <w:noProof/>
                            </w:rPr>
                            <w:t>3</w:t>
                          </w:r>
                          <w:r>
                            <w:rPr>
                              <w:rFonts w:ascii="Scala Sans OT" w:hAnsi="Scala Sans OT"/>
                            </w:rPr>
                            <w:fldChar w:fldCharType="end"/>
                          </w:r>
                        </w:p>
                      </w:txbxContent>
                    </wps:txbx>
                    <wps:bodyPr rot="0" spcFirstLastPara="0" vertOverflow="overflow" horzOverflow="overflow" vert="horz" wrap="square" lIns="91440" tIns="324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8" o:spid="_x0000_s1029" type="#_x0000_t202" style="position:absolute;left:0;text-align:left;margin-left:472.3pt;margin-top:19.6pt;width:49.7pt;height:14.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" filled="f" stroked="f">
              <v:textbox inset=",.9mm,,0">
                <w:txbxContent>
                  <w:p>
                    <w:pPr>
                      <w:pStyle w:val="RKISeitenzahlrechte"/>
                      <w:rPr>
                        <w:rFonts w:ascii="Scala Sans OT" w:hAnsi="Scala Sans OT"/>
                      </w:rPr>
                    </w:pPr>
                    <w:r>
                      <w:rPr>
                        <w:rFonts w:ascii="Scala Sans OT" w:hAnsi="Scala Sans OT"/>
                      </w:rPr>
                      <w:fldChar w:fldCharType="begin"/>
                    </w:r>
                    <w:r>
                      <w:rPr>
                        <w:rFonts w:ascii="Scala Sans OT" w:hAnsi="Scala Sans OT"/>
                      </w:rPr>
                      <w:instrText xml:space="preserve"> PAGE  \* MERGEFORMAT </w:instrText>
                    </w:r>
                    <w:r>
                      <w:rPr>
                        <w:rFonts w:ascii="Scala Sans OT" w:hAnsi="Scala Sans OT"/>
                      </w:rPr>
                      <w:fldChar w:fldCharType="separate"/>
                    </w:r>
                    <w:r>
                      <w:rPr>
                        <w:rFonts w:ascii="Scala Sans OT" w:hAnsi="Scala Sans OT"/>
                        <w:noProof/>
                      </w:rPr>
                      <w:t>3</w:t>
                    </w:r>
                    <w:r>
                      <w:rPr>
                        <w:rFonts w:ascii="Scala Sans OT" w:hAnsi="Scala Sans OT"/>
                      </w:rPr>
                      <w:fldChar w:fldCharType="end"/>
                    </w:r>
                  </w:p>
                </w:txbxContent>
              </v:textbox>
              <w10:wrap anchory="page"/>
              <w10:anchorlock/>
            </v:shape>
          </w:pict>
        </mc:Fallback>
      </mc:AlternateContent>
    </w:r>
    <w:r>
      <w:rPr>
        <w:rFonts w:ascii="Scala Sans OT" w:hAnsi="Scala Sans OT"/>
        <w:noProof/>
      </w:rPr>
      <mc:AlternateContent>
        <mc:Choice Requires="wps">
          <w:drawing>
            <wp:anchor distT="0" distB="0" distL="114300" distR="114300" simplePos="0" relativeHeight="251662336" behindDoc="1" locked="1" layoutInCell="1" allowOverlap="1">
              <wp:simplePos x="0" y="0"/>
              <wp:positionH relativeFrom="column">
                <wp:posOffset>5997575</wp:posOffset>
              </wp:positionH>
              <wp:positionV relativeFrom="page">
                <wp:posOffset>250825</wp:posOffset>
              </wp:positionV>
              <wp:extent cx="665480" cy="179705"/>
              <wp:effectExtent l="0" t="0" r="0" b="0"/>
              <wp:wrapNone/>
              <wp:docPr id="10" name="Rechteck 10"/>
              <wp:cNvGraphicFramePr/>
              <a:graphic xmlns:a="http://schemas.openxmlformats.org/drawingml/2006/main">
                <a:graphicData uri="http://schemas.microsoft.com/office/word/2010/wordprocessingShape">
                  <wps:wsp>
                    <wps:cNvSpPr/>
                    <wps:spPr>
                      <a:xfrm>
                        <a:off x="0" y="0"/>
                        <a:ext cx="665480" cy="179705"/>
                      </a:xfrm>
                      <a:prstGeom prst="rect">
                        <a:avLst/>
                      </a:prstGeom>
                      <a:solidFill>
                        <a:srgbClr val="045AA6"/>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0" o:spid="_x0000_s1026" style="position:absolute;margin-left:472.25pt;margin-top:19.75pt;width:52.4pt;height:14.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" fillcolor="#045aa6" stroked="f">
              <w10:wrap anchory="page"/>
              <w10:anchorlock/>
            </v:rect>
          </w:pict>
        </mc:Fallback>
      </mc:AlternateContent>
    </w:r>
    <w:r>
      <w:rPr>
        <w:rFonts w:ascii="Scala Sans OT" w:hAnsi="Scala Sans OT"/>
        <w:noProof/>
      </w:rPr>
      <mc:AlternateContent>
        <mc:Choice Requires="wps">
          <w:drawing>
            <wp:anchor distT="0" distB="0" distL="114300" distR="114300" simplePos="0" relativeHeight="251663360" behindDoc="1" locked="1" layoutInCell="1" allowOverlap="1">
              <wp:simplePos x="0" y="0"/>
              <wp:positionH relativeFrom="column">
                <wp:posOffset>-421640</wp:posOffset>
              </wp:positionH>
              <wp:positionV relativeFrom="page">
                <wp:posOffset>431800</wp:posOffset>
              </wp:positionV>
              <wp:extent cx="7086600" cy="0"/>
              <wp:effectExtent l="0" t="0" r="25400" b="25400"/>
              <wp:wrapNone/>
              <wp:docPr id="14" name="Gerade Verbindung 14"/>
              <wp:cNvGraphicFramePr/>
              <a:graphic xmlns:a="http://schemas.openxmlformats.org/drawingml/2006/main">
                <a:graphicData uri="http://schemas.microsoft.com/office/word/2010/wordprocessingShape">
                  <wps:wsp>
                    <wps:cNvCnPr/>
                    <wps:spPr>
                      <a:xfrm>
                        <a:off x="0" y="0"/>
                        <a:ext cx="7086600" cy="0"/>
                      </a:xfrm>
                      <a:prstGeom prst="line">
                        <a:avLst/>
                      </a:prstGeom>
                      <a:ln w="12700">
                        <a:solidFill>
                          <a:srgbClr val="045AA6"/>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Gerade Verbindung 1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33.2pt,34pt" to="524.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" strokecolor="#045aa6" strokeweight="1pt">
              <w10:wrap anchory="page"/>
              <w10:anchorlock/>
            </v:line>
          </w:pict>
        </mc:Fallback>
      </mc:AlternateContent>
    </w:r>
    <w:r>
      <w:rPr>
        <w:rFonts w:ascii="Scala Sans OT" w:hAnsi="Scala Sans OT"/>
      </w:rPr>
      <w:t>Einschätzung der aktuellen Lage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8512C9"/>
    <w:multiLevelType w:val="hybridMultilevel"/>
    <w:tmpl w:val="8D021B44"/>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B9523D3"/>
    <w:multiLevelType w:val="hybridMultilevel"/>
    <w:tmpl w:val="AAF0440E"/>
    <w:lvl w:ilvl="0" w:tplc="BF243EB2">
      <w:start w:val="1"/>
      <w:numFmt w:val="decimal"/>
      <w:lvlText w:val="%1)"/>
      <w:lvlJc w:val="left"/>
      <w:pPr>
        <w:ind w:left="190" w:hanging="360"/>
      </w:pPr>
      <w:rPr>
        <w:rFonts w:hint="default"/>
      </w:rPr>
    </w:lvl>
    <w:lvl w:ilvl="1" w:tplc="04070019" w:tentative="1">
      <w:start w:val="1"/>
      <w:numFmt w:val="lowerLetter"/>
      <w:lvlText w:val="%2."/>
      <w:lvlJc w:val="left"/>
      <w:pPr>
        <w:ind w:left="910" w:hanging="360"/>
      </w:pPr>
    </w:lvl>
    <w:lvl w:ilvl="2" w:tplc="0407001B" w:tentative="1">
      <w:start w:val="1"/>
      <w:numFmt w:val="lowerRoman"/>
      <w:lvlText w:val="%3."/>
      <w:lvlJc w:val="right"/>
      <w:pPr>
        <w:ind w:left="1630" w:hanging="180"/>
      </w:pPr>
    </w:lvl>
    <w:lvl w:ilvl="3" w:tplc="0407000F" w:tentative="1">
      <w:start w:val="1"/>
      <w:numFmt w:val="decimal"/>
      <w:lvlText w:val="%4."/>
      <w:lvlJc w:val="left"/>
      <w:pPr>
        <w:ind w:left="2350" w:hanging="360"/>
      </w:pPr>
    </w:lvl>
    <w:lvl w:ilvl="4" w:tplc="04070019" w:tentative="1">
      <w:start w:val="1"/>
      <w:numFmt w:val="lowerLetter"/>
      <w:lvlText w:val="%5."/>
      <w:lvlJc w:val="left"/>
      <w:pPr>
        <w:ind w:left="3070" w:hanging="360"/>
      </w:pPr>
    </w:lvl>
    <w:lvl w:ilvl="5" w:tplc="0407001B" w:tentative="1">
      <w:start w:val="1"/>
      <w:numFmt w:val="lowerRoman"/>
      <w:lvlText w:val="%6."/>
      <w:lvlJc w:val="right"/>
      <w:pPr>
        <w:ind w:left="3790" w:hanging="180"/>
      </w:pPr>
    </w:lvl>
    <w:lvl w:ilvl="6" w:tplc="0407000F" w:tentative="1">
      <w:start w:val="1"/>
      <w:numFmt w:val="decimal"/>
      <w:lvlText w:val="%7."/>
      <w:lvlJc w:val="left"/>
      <w:pPr>
        <w:ind w:left="4510" w:hanging="360"/>
      </w:pPr>
    </w:lvl>
    <w:lvl w:ilvl="7" w:tplc="04070019" w:tentative="1">
      <w:start w:val="1"/>
      <w:numFmt w:val="lowerLetter"/>
      <w:lvlText w:val="%8."/>
      <w:lvlJc w:val="left"/>
      <w:pPr>
        <w:ind w:left="5230" w:hanging="360"/>
      </w:pPr>
    </w:lvl>
    <w:lvl w:ilvl="8" w:tplc="0407001B" w:tentative="1">
      <w:start w:val="1"/>
      <w:numFmt w:val="lowerRoman"/>
      <w:lvlText w:val="%9."/>
      <w:lvlJc w:val="right"/>
      <w:pPr>
        <w:ind w:left="5950" w:hanging="180"/>
      </w:pPr>
    </w:lvl>
  </w:abstractNum>
  <w:abstractNum w:abstractNumId="2" w15:restartNumberingAfterBreak="0">
    <w:nsid w:val="41964CBD"/>
    <w:multiLevelType w:val="hybridMultilevel"/>
    <w:tmpl w:val="8D021B44"/>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AC7773D"/>
    <w:multiLevelType w:val="hybridMultilevel"/>
    <w:tmpl w:val="73B4207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CB67C0E"/>
    <w:multiLevelType w:val="hybridMultilevel"/>
    <w:tmpl w:val="BE50949C"/>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144815BB-8E45-4EF7-BE3F-5A129F1A6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line="300" w:lineRule="auto"/>
      <w:ind w:left="-170"/>
    </w:pPr>
    <w:rPr>
      <w:rFonts w:ascii="ScalaSansPro-Regular" w:hAnsi="ScalaSansPro-Regular"/>
      <w:sz w:val="20"/>
      <w:szCs w:val="20"/>
    </w:rPr>
  </w:style>
  <w:style w:type="paragraph" w:styleId="berschrift1">
    <w:name w:val="heading 1"/>
    <w:aliases w:val="Scala"/>
    <w:basedOn w:val="Standard"/>
    <w:next w:val="Standard"/>
    <w:link w:val="berschrift1Zchn"/>
    <w:uiPriority w:val="9"/>
    <w:qFormat/>
    <w:pPr>
      <w:keepNext/>
      <w:keepLines/>
      <w:spacing w:before="480"/>
      <w:outlineLvl w:val="0"/>
    </w:pPr>
    <w:rPr>
      <w:rFonts w:ascii="ScalaSansPro-Bold" w:eastAsiaTheme="majorEastAsia" w:hAnsi="ScalaSansPro-Bold" w:cstheme="majorBidi"/>
      <w:bCs/>
      <w:color w:val="045AA6"/>
      <w:sz w:val="32"/>
      <w:szCs w:val="32"/>
    </w:rPr>
  </w:style>
  <w:style w:type="paragraph" w:styleId="berschrift2">
    <w:name w:val="heading 2"/>
    <w:basedOn w:val="Standard"/>
    <w:next w:val="Standard"/>
    <w:link w:val="berschrift2Zchn"/>
    <w:uiPriority w:val="9"/>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Pr>
      <w:rFonts w:ascii="Lucida Grande" w:hAnsi="Lucida Grande" w:cs="Lucida Grande"/>
      <w:sz w:val="18"/>
      <w:szCs w:val="18"/>
    </w:rPr>
  </w:style>
  <w:style w:type="paragraph" w:customStyle="1" w:styleId="RKIFLAGLINE">
    <w:name w:val="__RKI_FLAGLINE"/>
    <w:qFormat/>
    <w:pPr>
      <w:spacing w:after="120" w:line="240" w:lineRule="exact"/>
    </w:pPr>
    <w:rPr>
      <w:rFonts w:ascii="ScalaSansPro-Regular" w:hAnsi="ScalaSansPro-Regular"/>
      <w:caps/>
      <w:color w:val="FFFFFF" w:themeColor="background1"/>
      <w:spacing w:val="4"/>
      <w:sz w:val="22"/>
      <w:szCs w:val="22"/>
      <w14:numForm w14:val="lining"/>
    </w:rPr>
  </w:style>
  <w:style w:type="paragraph" w:customStyle="1" w:styleId="RKITitel">
    <w:name w:val="__RKI_Titel"/>
    <w:autoRedefine/>
    <w:qFormat/>
    <w:pPr>
      <w:spacing w:line="504" w:lineRule="exact"/>
    </w:pPr>
    <w:rPr>
      <w:rFonts w:ascii="ScalaSansPro-Bold" w:hAnsi="ScalaSansPro-Bold"/>
      <w:color w:val="FFFFFF" w:themeColor="background1"/>
      <w:sz w:val="48"/>
      <w:szCs w:val="48"/>
    </w:rPr>
  </w:style>
  <w:style w:type="paragraph" w:customStyle="1" w:styleId="TextU4">
    <w:name w:val="Text U4"/>
    <w:basedOn w:val="Standard"/>
    <w:uiPriority w:val="99"/>
    <w:pPr>
      <w:widowControl w:val="0"/>
      <w:autoSpaceDE w:val="0"/>
      <w:autoSpaceDN w:val="0"/>
      <w:adjustRightInd w:val="0"/>
      <w:spacing w:line="288" w:lineRule="auto"/>
      <w:textAlignment w:val="center"/>
    </w:pPr>
    <w:rPr>
      <w:rFonts w:cs="ScalaSansPro-Regular"/>
      <w:color w:val="FFFFFF"/>
    </w:rPr>
  </w:style>
  <w:style w:type="paragraph" w:styleId="Kopfzeile">
    <w:name w:val="header"/>
    <w:aliases w:val="__RKI_Kopfzeile"/>
    <w:link w:val="KopfzeileZchn"/>
    <w:uiPriority w:val="99"/>
    <w:unhideWhenUsed/>
    <w:pPr>
      <w:tabs>
        <w:tab w:val="center" w:pos="4536"/>
        <w:tab w:val="right" w:pos="9072"/>
      </w:tabs>
      <w:ind w:left="-182" w:right="360"/>
    </w:pPr>
    <w:rPr>
      <w:rFonts w:ascii="ScalaSansPro-Regular" w:hAnsi="ScalaSansPro-Regular"/>
      <w:color w:val="045AA6"/>
      <w:sz w:val="16"/>
      <w:szCs w:val="16"/>
    </w:rPr>
  </w:style>
  <w:style w:type="character" w:customStyle="1" w:styleId="KopfzeileZchn">
    <w:name w:val="Kopfzeile Zchn"/>
    <w:aliases w:val="__RKI_Kopfzeile Zchn"/>
    <w:basedOn w:val="Absatz-Standardschriftart"/>
    <w:link w:val="Kopfzeile"/>
    <w:uiPriority w:val="99"/>
    <w:rPr>
      <w:rFonts w:ascii="ScalaSansPro-Regular" w:hAnsi="ScalaSansPro-Regular"/>
      <w:color w:val="045AA6"/>
      <w:sz w:val="16"/>
      <w:szCs w:val="16"/>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style>
  <w:style w:type="character" w:styleId="Seitenzahl">
    <w:name w:val="page number"/>
    <w:basedOn w:val="Absatz-Standardschriftart"/>
    <w:uiPriority w:val="99"/>
    <w:semiHidden/>
    <w:unhideWhenUsed/>
  </w:style>
  <w:style w:type="paragraph" w:customStyle="1" w:styleId="scala">
    <w:name w:val="scala"/>
    <w:basedOn w:val="Kopfzeile"/>
    <w:pPr>
      <w:framePr w:w="1049" w:h="284" w:hRule="exact" w:wrap="around" w:vAnchor="page" w:hAnchor="page" w:y="1" w:anchorLock="1"/>
    </w:pPr>
  </w:style>
  <w:style w:type="paragraph" w:customStyle="1" w:styleId="RKISeitenzahllinke">
    <w:name w:val="__RKI_Seitenzahl_linke"/>
    <w:basedOn w:val="Kopfzeile"/>
    <w:qFormat/>
    <w:pPr>
      <w:framePr w:wrap="around" w:vAnchor="page" w:hAnchor="page" w:x="608" w:y="460" w:anchorLock="1"/>
      <w:ind w:left="-181" w:right="113"/>
      <w:jc w:val="right"/>
    </w:pPr>
    <w:rPr>
      <w:color w:val="FFFFFF" w:themeColor="background1"/>
      <w14:numForm w14:val="oldStyle"/>
    </w:rPr>
  </w:style>
  <w:style w:type="character" w:customStyle="1" w:styleId="berschrift1Zchn">
    <w:name w:val="Überschrift 1 Zchn"/>
    <w:aliases w:val="Scala Zchn"/>
    <w:basedOn w:val="Absatz-Standardschriftart"/>
    <w:link w:val="berschrift1"/>
    <w:uiPriority w:val="9"/>
    <w:rPr>
      <w:rFonts w:ascii="ScalaSansPro-Bold" w:eastAsiaTheme="majorEastAsia" w:hAnsi="ScalaSansPro-Bold" w:cstheme="majorBidi"/>
      <w:bCs/>
      <w:color w:val="045AA6"/>
      <w:sz w:val="32"/>
      <w:szCs w:val="32"/>
    </w:rPr>
  </w:style>
  <w:style w:type="paragraph" w:customStyle="1" w:styleId="RKISeitenzahlrechte">
    <w:name w:val="__RKI_Seitenzahl_rechte"/>
    <w:basedOn w:val="RKISeitenzahllinke"/>
    <w:qFormat/>
    <w:pPr>
      <w:framePr w:wrap="around"/>
      <w:ind w:left="113" w:right="-181"/>
      <w:jc w:val="left"/>
    </w:pPr>
  </w:style>
  <w:style w:type="paragraph" w:styleId="NurText">
    <w:name w:val="Plain Text"/>
    <w:basedOn w:val="Standard"/>
    <w:link w:val="NurTextZchn"/>
    <w:uiPriority w:val="99"/>
    <w:unhideWhenUsed/>
    <w:pPr>
      <w:spacing w:line="240" w:lineRule="auto"/>
      <w:ind w:left="0"/>
    </w:pPr>
    <w:rPr>
      <w:rFonts w:ascii="Calibri" w:eastAsiaTheme="minorHAnsi" w:hAnsi="Calibri"/>
      <w:sz w:val="22"/>
      <w:szCs w:val="21"/>
      <w:lang w:val="en-US" w:eastAsia="en-US"/>
    </w:rPr>
  </w:style>
  <w:style w:type="character" w:customStyle="1" w:styleId="NurTextZchn">
    <w:name w:val="Nur Text Zchn"/>
    <w:basedOn w:val="Absatz-Standardschriftart"/>
    <w:link w:val="NurText"/>
    <w:uiPriority w:val="99"/>
    <w:rPr>
      <w:rFonts w:ascii="Calibri" w:eastAsiaTheme="minorHAnsi" w:hAnsi="Calibri"/>
      <w:sz w:val="22"/>
      <w:szCs w:val="21"/>
      <w:lang w:val="en-US" w:eastAsia="en-US"/>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after="200" w:line="240" w:lineRule="auto"/>
      <w:ind w:left="0"/>
    </w:pPr>
    <w:rPr>
      <w:rFonts w:asciiTheme="minorHAnsi" w:eastAsiaTheme="minorHAnsi" w:hAnsiTheme="minorHAnsi"/>
      <w:lang w:val="en-US" w:eastAsia="en-US"/>
    </w:rPr>
  </w:style>
  <w:style w:type="character" w:customStyle="1" w:styleId="KommentartextZchn">
    <w:name w:val="Kommentartext Zchn"/>
    <w:basedOn w:val="Absatz-Standardschriftart"/>
    <w:link w:val="Kommentartext"/>
    <w:uiPriority w:val="99"/>
    <w:semiHidden/>
    <w:rPr>
      <w:rFonts w:eastAsiaTheme="minorHAnsi"/>
      <w:sz w:val="20"/>
      <w:szCs w:val="20"/>
      <w:lang w:val="en-US" w:eastAsia="en-US"/>
    </w:rPr>
  </w:style>
  <w:style w:type="table" w:styleId="Tabellenraster">
    <w:name w:val="Table Grid"/>
    <w:basedOn w:val="NormaleTabelle"/>
    <w:uiPriority w:val="59"/>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pPr>
      <w:spacing w:after="200" w:line="240" w:lineRule="auto"/>
      <w:ind w:left="0"/>
    </w:pPr>
    <w:rPr>
      <w:rFonts w:asciiTheme="minorHAnsi" w:eastAsiaTheme="minorHAnsi" w:hAnsiTheme="minorHAnsi"/>
      <w:i/>
      <w:iCs/>
      <w:color w:val="1F497D" w:themeColor="text2"/>
      <w:sz w:val="18"/>
      <w:szCs w:val="18"/>
      <w:lang w:val="en-US" w:eastAsia="en-US"/>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365F91" w:themeColor="accent1" w:themeShade="BF"/>
      <w:sz w:val="26"/>
      <w:szCs w:val="26"/>
    </w:rPr>
  </w:style>
  <w:style w:type="paragraph" w:styleId="Inhaltsverzeichnisberschrift">
    <w:name w:val="TOC Heading"/>
    <w:basedOn w:val="berschrift1"/>
    <w:next w:val="Standard"/>
    <w:uiPriority w:val="39"/>
    <w:unhideWhenUsed/>
    <w:qFormat/>
    <w:pPr>
      <w:spacing w:before="240" w:line="259" w:lineRule="auto"/>
      <w:ind w:left="0"/>
      <w:outlineLvl w:val="9"/>
    </w:pPr>
    <w:rPr>
      <w:rFonts w:asciiTheme="majorHAnsi" w:hAnsiTheme="majorHAnsi"/>
      <w:bCs w:val="0"/>
      <w:color w:val="365F91" w:themeColor="accent1" w:themeShade="BF"/>
    </w:rPr>
  </w:style>
  <w:style w:type="paragraph" w:styleId="Verzeichnis1">
    <w:name w:val="toc 1"/>
    <w:basedOn w:val="Standard"/>
    <w:next w:val="Standard"/>
    <w:autoRedefine/>
    <w:uiPriority w:val="39"/>
    <w:unhideWhenUsed/>
    <w:pPr>
      <w:spacing w:after="100"/>
      <w:ind w:left="0"/>
    </w:pPr>
  </w:style>
  <w:style w:type="paragraph" w:styleId="Verzeichnis2">
    <w:name w:val="toc 2"/>
    <w:basedOn w:val="Standard"/>
    <w:next w:val="Standard"/>
    <w:autoRedefine/>
    <w:uiPriority w:val="39"/>
    <w:unhideWhenUsed/>
    <w:pPr>
      <w:spacing w:after="100"/>
      <w:ind w:left="200"/>
    </w:pPr>
  </w:style>
  <w:style w:type="paragraph" w:styleId="Verzeichnis3">
    <w:name w:val="toc 3"/>
    <w:basedOn w:val="Standard"/>
    <w:next w:val="Standard"/>
    <w:autoRedefine/>
    <w:uiPriority w:val="39"/>
    <w:unhideWhenUsed/>
    <w:pPr>
      <w:spacing w:after="100"/>
      <w:ind w:left="400"/>
    </w:pPr>
  </w:style>
  <w:style w:type="character" w:styleId="Hyperlink">
    <w:name w:val="Hyperlink"/>
    <w:basedOn w:val="Absatz-Standardschriftart"/>
    <w:uiPriority w:val="99"/>
    <w:unhideWhenUsed/>
    <w:rPr>
      <w:color w:val="0000FF" w:themeColor="hyperlink"/>
      <w:u w:val="single"/>
    </w:rPr>
  </w:style>
  <w:style w:type="paragraph" w:styleId="Kommentarthema">
    <w:name w:val="annotation subject"/>
    <w:basedOn w:val="Kommentartext"/>
    <w:next w:val="Kommentartext"/>
    <w:link w:val="KommentarthemaZchn"/>
    <w:uiPriority w:val="99"/>
    <w:semiHidden/>
    <w:unhideWhenUsed/>
    <w:pPr>
      <w:spacing w:after="0"/>
      <w:ind w:left="-170"/>
    </w:pPr>
    <w:rPr>
      <w:rFonts w:ascii="ScalaSansPro-Regular" w:eastAsiaTheme="minorEastAsia" w:hAnsi="ScalaSansPro-Regular"/>
      <w:b/>
      <w:bCs/>
      <w:lang w:val="de-DE" w:eastAsia="de-DE"/>
    </w:rPr>
  </w:style>
  <w:style w:type="character" w:customStyle="1" w:styleId="KommentarthemaZchn">
    <w:name w:val="Kommentarthema Zchn"/>
    <w:basedOn w:val="KommentartextZchn"/>
    <w:link w:val="Kommentarthema"/>
    <w:uiPriority w:val="99"/>
    <w:semiHidden/>
    <w:rPr>
      <w:rFonts w:ascii="ScalaSansPro-Regular" w:eastAsiaTheme="minorHAnsi" w:hAnsi="ScalaSansPro-Regular"/>
      <w:b/>
      <w:bCs/>
      <w:sz w:val="20"/>
      <w:szCs w:val="20"/>
      <w:lang w:val="en-US" w:eastAsia="en-US"/>
    </w:rPr>
  </w:style>
  <w:style w:type="paragraph" w:styleId="StandardWeb">
    <w:name w:val="Normal (Web)"/>
    <w:basedOn w:val="Standard"/>
    <w:uiPriority w:val="99"/>
    <w:semiHidden/>
    <w:unhideWhenUsed/>
    <w:pPr>
      <w:spacing w:before="100" w:beforeAutospacing="1" w:after="100" w:afterAutospacing="1" w:line="240" w:lineRule="auto"/>
      <w:ind w:left="0"/>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643898">
      <w:bodyDiv w:val="1"/>
      <w:marLeft w:val="0"/>
      <w:marRight w:val="0"/>
      <w:marTop w:val="0"/>
      <w:marBottom w:val="0"/>
      <w:divBdr>
        <w:top w:val="none" w:sz="0" w:space="0" w:color="auto"/>
        <w:left w:val="none" w:sz="0" w:space="0" w:color="auto"/>
        <w:bottom w:val="none" w:sz="0" w:space="0" w:color="auto"/>
        <w:right w:val="none" w:sz="0" w:space="0" w:color="auto"/>
      </w:divBdr>
    </w:div>
    <w:div w:id="16407612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'2019_2020'!$I$70</c:f>
              <c:strCache>
                <c:ptCount val="1"/>
                <c:pt idx="0">
                  <c:v>HRV</c:v>
                </c:pt>
              </c:strCache>
            </c:strRef>
          </c:tx>
          <c:spPr>
            <a:ln w="15875" cap="rnd">
              <a:solidFill>
                <a:schemeClr val="accent1"/>
              </a:solidFill>
              <a:round/>
            </a:ln>
            <a:effectLst/>
          </c:spPr>
          <c:marker>
            <c:symbol val="none"/>
          </c:marker>
          <c:cat>
            <c:numRef>
              <c:f>'2019_2020'!$H$71:$H$135</c:f>
              <c:numCache>
                <c:formatCode>General</c:formatCode>
                <c:ptCount val="65"/>
                <c:pt idx="0">
                  <c:v>40</c:v>
                </c:pt>
                <c:pt idx="1">
                  <c:v>41</c:v>
                </c:pt>
                <c:pt idx="2">
                  <c:v>42</c:v>
                </c:pt>
                <c:pt idx="3">
                  <c:v>43</c:v>
                </c:pt>
                <c:pt idx="4">
                  <c:v>44</c:v>
                </c:pt>
                <c:pt idx="5">
                  <c:v>45</c:v>
                </c:pt>
                <c:pt idx="6">
                  <c:v>46</c:v>
                </c:pt>
                <c:pt idx="7">
                  <c:v>47</c:v>
                </c:pt>
                <c:pt idx="8">
                  <c:v>48</c:v>
                </c:pt>
                <c:pt idx="9">
                  <c:v>49</c:v>
                </c:pt>
                <c:pt idx="10">
                  <c:v>50</c:v>
                </c:pt>
                <c:pt idx="11">
                  <c:v>51</c:v>
                </c:pt>
                <c:pt idx="12">
                  <c:v>52</c:v>
                </c:pt>
                <c:pt idx="13">
                  <c:v>1</c:v>
                </c:pt>
                <c:pt idx="14">
                  <c:v>2</c:v>
                </c:pt>
                <c:pt idx="15">
                  <c:v>3</c:v>
                </c:pt>
                <c:pt idx="16">
                  <c:v>4</c:v>
                </c:pt>
                <c:pt idx="17">
                  <c:v>5</c:v>
                </c:pt>
                <c:pt idx="18">
                  <c:v>6</c:v>
                </c:pt>
                <c:pt idx="19">
                  <c:v>7</c:v>
                </c:pt>
                <c:pt idx="20">
                  <c:v>8</c:v>
                </c:pt>
                <c:pt idx="21">
                  <c:v>9</c:v>
                </c:pt>
                <c:pt idx="22">
                  <c:v>10</c:v>
                </c:pt>
                <c:pt idx="23">
                  <c:v>11</c:v>
                </c:pt>
                <c:pt idx="24">
                  <c:v>12</c:v>
                </c:pt>
                <c:pt idx="25">
                  <c:v>13</c:v>
                </c:pt>
                <c:pt idx="26">
                  <c:v>14</c:v>
                </c:pt>
                <c:pt idx="27">
                  <c:v>15</c:v>
                </c:pt>
                <c:pt idx="28">
                  <c:v>16</c:v>
                </c:pt>
                <c:pt idx="29">
                  <c:v>17</c:v>
                </c:pt>
                <c:pt idx="30">
                  <c:v>18</c:v>
                </c:pt>
                <c:pt idx="31">
                  <c:v>19</c:v>
                </c:pt>
                <c:pt idx="32">
                  <c:v>20</c:v>
                </c:pt>
                <c:pt idx="33">
                  <c:v>21</c:v>
                </c:pt>
                <c:pt idx="34">
                  <c:v>22</c:v>
                </c:pt>
                <c:pt idx="35">
                  <c:v>23</c:v>
                </c:pt>
                <c:pt idx="36">
                  <c:v>24</c:v>
                </c:pt>
                <c:pt idx="37">
                  <c:v>25</c:v>
                </c:pt>
                <c:pt idx="38">
                  <c:v>26</c:v>
                </c:pt>
                <c:pt idx="39">
                  <c:v>27</c:v>
                </c:pt>
                <c:pt idx="40">
                  <c:v>28</c:v>
                </c:pt>
                <c:pt idx="41">
                  <c:v>29</c:v>
                </c:pt>
                <c:pt idx="42">
                  <c:v>30</c:v>
                </c:pt>
                <c:pt idx="43">
                  <c:v>31</c:v>
                </c:pt>
                <c:pt idx="44">
                  <c:v>32</c:v>
                </c:pt>
                <c:pt idx="45">
                  <c:v>33</c:v>
                </c:pt>
                <c:pt idx="46">
                  <c:v>34</c:v>
                </c:pt>
                <c:pt idx="47">
                  <c:v>35</c:v>
                </c:pt>
                <c:pt idx="48">
                  <c:v>36</c:v>
                </c:pt>
                <c:pt idx="49">
                  <c:v>37</c:v>
                </c:pt>
                <c:pt idx="50">
                  <c:v>38</c:v>
                </c:pt>
                <c:pt idx="51">
                  <c:v>39</c:v>
                </c:pt>
                <c:pt idx="52">
                  <c:v>40</c:v>
                </c:pt>
                <c:pt idx="53">
                  <c:v>41</c:v>
                </c:pt>
                <c:pt idx="54">
                  <c:v>42</c:v>
                </c:pt>
                <c:pt idx="55">
                  <c:v>43</c:v>
                </c:pt>
                <c:pt idx="56">
                  <c:v>44</c:v>
                </c:pt>
                <c:pt idx="57">
                  <c:v>45</c:v>
                </c:pt>
                <c:pt idx="58">
                  <c:v>46</c:v>
                </c:pt>
                <c:pt idx="59">
                  <c:v>47</c:v>
                </c:pt>
                <c:pt idx="60">
                  <c:v>48</c:v>
                </c:pt>
                <c:pt idx="61">
                  <c:v>49</c:v>
                </c:pt>
                <c:pt idx="62">
                  <c:v>50</c:v>
                </c:pt>
                <c:pt idx="63">
                  <c:v>51</c:v>
                </c:pt>
                <c:pt idx="64">
                  <c:v>52</c:v>
                </c:pt>
              </c:numCache>
            </c:numRef>
          </c:cat>
          <c:val>
            <c:numRef>
              <c:f>'2019_2020'!$I$71:$I$135</c:f>
              <c:numCache>
                <c:formatCode>General</c:formatCode>
                <c:ptCount val="65"/>
                <c:pt idx="0">
                  <c:v>43</c:v>
                </c:pt>
                <c:pt idx="1">
                  <c:v>38</c:v>
                </c:pt>
                <c:pt idx="2">
                  <c:v>34.4</c:v>
                </c:pt>
                <c:pt idx="3">
                  <c:v>33.299999999999997</c:v>
                </c:pt>
                <c:pt idx="4">
                  <c:v>39.700000000000003</c:v>
                </c:pt>
                <c:pt idx="5">
                  <c:v>37.6</c:v>
                </c:pt>
                <c:pt idx="6">
                  <c:v>23.3</c:v>
                </c:pt>
                <c:pt idx="7">
                  <c:v>27.4</c:v>
                </c:pt>
                <c:pt idx="8">
                  <c:v>24.51</c:v>
                </c:pt>
                <c:pt idx="9">
                  <c:v>19.05</c:v>
                </c:pt>
                <c:pt idx="10">
                  <c:v>21.43</c:v>
                </c:pt>
                <c:pt idx="11">
                  <c:v>17.579999999999998</c:v>
                </c:pt>
                <c:pt idx="12">
                  <c:v>17</c:v>
                </c:pt>
                <c:pt idx="13">
                  <c:v>11.63</c:v>
                </c:pt>
                <c:pt idx="14">
                  <c:v>7.89</c:v>
                </c:pt>
                <c:pt idx="15">
                  <c:v>10.199999999999999</c:v>
                </c:pt>
                <c:pt idx="16">
                  <c:v>9.09</c:v>
                </c:pt>
                <c:pt idx="17">
                  <c:v>5.39</c:v>
                </c:pt>
                <c:pt idx="18">
                  <c:v>4.57</c:v>
                </c:pt>
                <c:pt idx="19">
                  <c:v>6.51</c:v>
                </c:pt>
                <c:pt idx="20">
                  <c:v>3.66</c:v>
                </c:pt>
                <c:pt idx="21">
                  <c:v>6.11</c:v>
                </c:pt>
                <c:pt idx="22">
                  <c:v>7.98</c:v>
                </c:pt>
                <c:pt idx="23">
                  <c:v>7.38</c:v>
                </c:pt>
                <c:pt idx="24">
                  <c:v>6.28</c:v>
                </c:pt>
                <c:pt idx="25">
                  <c:v>9.77</c:v>
                </c:pt>
                <c:pt idx="26">
                  <c:v>7.92</c:v>
                </c:pt>
                <c:pt idx="27">
                  <c:v>4.88</c:v>
                </c:pt>
                <c:pt idx="28">
                  <c:v>0</c:v>
                </c:pt>
                <c:pt idx="29">
                  <c:v>6.06</c:v>
                </c:pt>
                <c:pt idx="30">
                  <c:v>0</c:v>
                </c:pt>
                <c:pt idx="31">
                  <c:v>0</c:v>
                </c:pt>
                <c:pt idx="32">
                  <c:v>0</c:v>
                </c:pt>
                <c:pt idx="33">
                  <c:v>7.69</c:v>
                </c:pt>
                <c:pt idx="34">
                  <c:v>0</c:v>
                </c:pt>
                <c:pt idx="35">
                  <c:v>9.09</c:v>
                </c:pt>
                <c:pt idx="36">
                  <c:v>22.22</c:v>
                </c:pt>
                <c:pt idx="37">
                  <c:v>28.57</c:v>
                </c:pt>
                <c:pt idx="38">
                  <c:v>34.090000000000003</c:v>
                </c:pt>
                <c:pt idx="39">
                  <c:v>46.3</c:v>
                </c:pt>
                <c:pt idx="40">
                  <c:v>71.430000000000007</c:v>
                </c:pt>
                <c:pt idx="41">
                  <c:v>67.5</c:v>
                </c:pt>
                <c:pt idx="42">
                  <c:v>76.59</c:v>
                </c:pt>
                <c:pt idx="43">
                  <c:v>48.39</c:v>
                </c:pt>
                <c:pt idx="44">
                  <c:v>46.67</c:v>
                </c:pt>
                <c:pt idx="45">
                  <c:v>47.62</c:v>
                </c:pt>
                <c:pt idx="46">
                  <c:v>55.26</c:v>
                </c:pt>
                <c:pt idx="47">
                  <c:v>61.11</c:v>
                </c:pt>
                <c:pt idx="48">
                  <c:v>58.82</c:v>
                </c:pt>
                <c:pt idx="49">
                  <c:v>76.19</c:v>
                </c:pt>
                <c:pt idx="50">
                  <c:v>61.36</c:v>
                </c:pt>
                <c:pt idx="51">
                  <c:v>43.63</c:v>
                </c:pt>
                <c:pt idx="52">
                  <c:v>69.64</c:v>
                </c:pt>
                <c:pt idx="53">
                  <c:v>49.09</c:v>
                </c:pt>
                <c:pt idx="54">
                  <c:v>60.61</c:v>
                </c:pt>
                <c:pt idx="55">
                  <c:v>44.44</c:v>
                </c:pt>
                <c:pt idx="56">
                  <c:v>45.28</c:v>
                </c:pt>
                <c:pt idx="57">
                  <c:v>44.23</c:v>
                </c:pt>
                <c:pt idx="58">
                  <c:v>24.42</c:v>
                </c:pt>
                <c:pt idx="59">
                  <c:v>15.5</c:v>
                </c:pt>
                <c:pt idx="60">
                  <c:v>16.7</c:v>
                </c:pt>
                <c:pt idx="61">
                  <c:v>19.68</c:v>
                </c:pt>
                <c:pt idx="62">
                  <c:v>25.99</c:v>
                </c:pt>
                <c:pt idx="63">
                  <c:v>30.1</c:v>
                </c:pt>
                <c:pt idx="64">
                  <c:v>19.72</c:v>
                </c:pt>
              </c:numCache>
            </c:numRef>
          </c:val>
          <c:smooth val="0"/>
          <c:extLst>
            <c:ext xmlns:c16="http://schemas.microsoft.com/office/drawing/2014/chart" uri="{C3380CC4-5D6E-409C-BE32-E72D297353CC}">
              <c16:uniqueId val="{00000000-3E6C-4D9F-BC58-525B56AD48AB}"/>
            </c:ext>
          </c:extLst>
        </c:ser>
        <c:ser>
          <c:idx val="1"/>
          <c:order val="1"/>
          <c:tx>
            <c:strRef>
              <c:f>'2019_2020'!$J$70</c:f>
              <c:strCache>
                <c:ptCount val="1"/>
                <c:pt idx="0">
                  <c:v>PIV</c:v>
                </c:pt>
              </c:strCache>
            </c:strRef>
          </c:tx>
          <c:spPr>
            <a:ln w="19050" cap="rnd">
              <a:solidFill>
                <a:schemeClr val="accent3">
                  <a:lumMod val="75000"/>
                </a:schemeClr>
              </a:solidFill>
              <a:round/>
            </a:ln>
            <a:effectLst/>
          </c:spPr>
          <c:marker>
            <c:symbol val="none"/>
          </c:marker>
          <c:cat>
            <c:numRef>
              <c:f>'2019_2020'!$H$71:$H$135</c:f>
              <c:numCache>
                <c:formatCode>General</c:formatCode>
                <c:ptCount val="65"/>
                <c:pt idx="0">
                  <c:v>40</c:v>
                </c:pt>
                <c:pt idx="1">
                  <c:v>41</c:v>
                </c:pt>
                <c:pt idx="2">
                  <c:v>42</c:v>
                </c:pt>
                <c:pt idx="3">
                  <c:v>43</c:v>
                </c:pt>
                <c:pt idx="4">
                  <c:v>44</c:v>
                </c:pt>
                <c:pt idx="5">
                  <c:v>45</c:v>
                </c:pt>
                <c:pt idx="6">
                  <c:v>46</c:v>
                </c:pt>
                <c:pt idx="7">
                  <c:v>47</c:v>
                </c:pt>
                <c:pt idx="8">
                  <c:v>48</c:v>
                </c:pt>
                <c:pt idx="9">
                  <c:v>49</c:v>
                </c:pt>
                <c:pt idx="10">
                  <c:v>50</c:v>
                </c:pt>
                <c:pt idx="11">
                  <c:v>51</c:v>
                </c:pt>
                <c:pt idx="12">
                  <c:v>52</c:v>
                </c:pt>
                <c:pt idx="13">
                  <c:v>1</c:v>
                </c:pt>
                <c:pt idx="14">
                  <c:v>2</c:v>
                </c:pt>
                <c:pt idx="15">
                  <c:v>3</c:v>
                </c:pt>
                <c:pt idx="16">
                  <c:v>4</c:v>
                </c:pt>
                <c:pt idx="17">
                  <c:v>5</c:v>
                </c:pt>
                <c:pt idx="18">
                  <c:v>6</c:v>
                </c:pt>
                <c:pt idx="19">
                  <c:v>7</c:v>
                </c:pt>
                <c:pt idx="20">
                  <c:v>8</c:v>
                </c:pt>
                <c:pt idx="21">
                  <c:v>9</c:v>
                </c:pt>
                <c:pt idx="22">
                  <c:v>10</c:v>
                </c:pt>
                <c:pt idx="23">
                  <c:v>11</c:v>
                </c:pt>
                <c:pt idx="24">
                  <c:v>12</c:v>
                </c:pt>
                <c:pt idx="25">
                  <c:v>13</c:v>
                </c:pt>
                <c:pt idx="26">
                  <c:v>14</c:v>
                </c:pt>
                <c:pt idx="27">
                  <c:v>15</c:v>
                </c:pt>
                <c:pt idx="28">
                  <c:v>16</c:v>
                </c:pt>
                <c:pt idx="29">
                  <c:v>17</c:v>
                </c:pt>
                <c:pt idx="30">
                  <c:v>18</c:v>
                </c:pt>
                <c:pt idx="31">
                  <c:v>19</c:v>
                </c:pt>
                <c:pt idx="32">
                  <c:v>20</c:v>
                </c:pt>
                <c:pt idx="33">
                  <c:v>21</c:v>
                </c:pt>
                <c:pt idx="34">
                  <c:v>22</c:v>
                </c:pt>
                <c:pt idx="35">
                  <c:v>23</c:v>
                </c:pt>
                <c:pt idx="36">
                  <c:v>24</c:v>
                </c:pt>
                <c:pt idx="37">
                  <c:v>25</c:v>
                </c:pt>
                <c:pt idx="38">
                  <c:v>26</c:v>
                </c:pt>
                <c:pt idx="39">
                  <c:v>27</c:v>
                </c:pt>
                <c:pt idx="40">
                  <c:v>28</c:v>
                </c:pt>
                <c:pt idx="41">
                  <c:v>29</c:v>
                </c:pt>
                <c:pt idx="42">
                  <c:v>30</c:v>
                </c:pt>
                <c:pt idx="43">
                  <c:v>31</c:v>
                </c:pt>
                <c:pt idx="44">
                  <c:v>32</c:v>
                </c:pt>
                <c:pt idx="45">
                  <c:v>33</c:v>
                </c:pt>
                <c:pt idx="46">
                  <c:v>34</c:v>
                </c:pt>
                <c:pt idx="47">
                  <c:v>35</c:v>
                </c:pt>
                <c:pt idx="48">
                  <c:v>36</c:v>
                </c:pt>
                <c:pt idx="49">
                  <c:v>37</c:v>
                </c:pt>
                <c:pt idx="50">
                  <c:v>38</c:v>
                </c:pt>
                <c:pt idx="51">
                  <c:v>39</c:v>
                </c:pt>
                <c:pt idx="52">
                  <c:v>40</c:v>
                </c:pt>
                <c:pt idx="53">
                  <c:v>41</c:v>
                </c:pt>
                <c:pt idx="54">
                  <c:v>42</c:v>
                </c:pt>
                <c:pt idx="55">
                  <c:v>43</c:v>
                </c:pt>
                <c:pt idx="56">
                  <c:v>44</c:v>
                </c:pt>
                <c:pt idx="57">
                  <c:v>45</c:v>
                </c:pt>
                <c:pt idx="58">
                  <c:v>46</c:v>
                </c:pt>
                <c:pt idx="59">
                  <c:v>47</c:v>
                </c:pt>
                <c:pt idx="60">
                  <c:v>48</c:v>
                </c:pt>
                <c:pt idx="61">
                  <c:v>49</c:v>
                </c:pt>
                <c:pt idx="62">
                  <c:v>50</c:v>
                </c:pt>
                <c:pt idx="63">
                  <c:v>51</c:v>
                </c:pt>
                <c:pt idx="64">
                  <c:v>52</c:v>
                </c:pt>
              </c:numCache>
            </c:numRef>
          </c:cat>
          <c:val>
            <c:numRef>
              <c:f>'2019_2020'!$J$71:$J$135</c:f>
              <c:numCache>
                <c:formatCode>General</c:formatCode>
                <c:ptCount val="65"/>
                <c:pt idx="0">
                  <c:v>22</c:v>
                </c:pt>
                <c:pt idx="1">
                  <c:v>10.5</c:v>
                </c:pt>
                <c:pt idx="2">
                  <c:v>6.9</c:v>
                </c:pt>
                <c:pt idx="3">
                  <c:v>15.2</c:v>
                </c:pt>
                <c:pt idx="4">
                  <c:v>14.3</c:v>
                </c:pt>
                <c:pt idx="5">
                  <c:v>28.7</c:v>
                </c:pt>
                <c:pt idx="6">
                  <c:v>17.78</c:v>
                </c:pt>
                <c:pt idx="7">
                  <c:v>16.850000000000001</c:v>
                </c:pt>
                <c:pt idx="8">
                  <c:v>11.76</c:v>
                </c:pt>
                <c:pt idx="9">
                  <c:v>12.38</c:v>
                </c:pt>
                <c:pt idx="10">
                  <c:v>6.12</c:v>
                </c:pt>
                <c:pt idx="11">
                  <c:v>8.7899999999999991</c:v>
                </c:pt>
                <c:pt idx="12">
                  <c:v>4.3499999999999996</c:v>
                </c:pt>
                <c:pt idx="13">
                  <c:v>9.3000000000000007</c:v>
                </c:pt>
                <c:pt idx="14">
                  <c:v>4.3899999999999997</c:v>
                </c:pt>
                <c:pt idx="15">
                  <c:v>2.72</c:v>
                </c:pt>
                <c:pt idx="16">
                  <c:v>4.28</c:v>
                </c:pt>
                <c:pt idx="17">
                  <c:v>2.0699999999999998</c:v>
                </c:pt>
                <c:pt idx="18">
                  <c:v>2.74</c:v>
                </c:pt>
                <c:pt idx="19">
                  <c:v>0</c:v>
                </c:pt>
                <c:pt idx="20">
                  <c:v>2.09</c:v>
                </c:pt>
                <c:pt idx="21">
                  <c:v>0.87</c:v>
                </c:pt>
                <c:pt idx="22">
                  <c:v>0.38</c:v>
                </c:pt>
                <c:pt idx="23">
                  <c:v>0.82</c:v>
                </c:pt>
                <c:pt idx="24">
                  <c:v>1.45</c:v>
                </c:pt>
                <c:pt idx="25">
                  <c:v>0.75</c:v>
                </c:pt>
                <c:pt idx="26">
                  <c:v>2.97</c:v>
                </c:pt>
                <c:pt idx="27">
                  <c:v>0</c:v>
                </c:pt>
                <c:pt idx="28">
                  <c:v>0</c:v>
                </c:pt>
                <c:pt idx="29">
                  <c:v>0</c:v>
                </c:pt>
                <c:pt idx="30">
                  <c:v>0</c:v>
                </c:pt>
                <c:pt idx="31">
                  <c:v>0</c:v>
                </c:pt>
                <c:pt idx="32">
                  <c:v>0</c:v>
                </c:pt>
                <c:pt idx="33">
                  <c:v>0</c:v>
                </c:pt>
                <c:pt idx="34">
                  <c:v>0</c:v>
                </c:pt>
                <c:pt idx="35">
                  <c:v>0</c:v>
                </c:pt>
                <c:pt idx="36">
                  <c:v>0</c:v>
                </c:pt>
                <c:pt idx="37">
                  <c:v>2.38</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1</c:v>
                </c:pt>
                <c:pt idx="58">
                  <c:v>0</c:v>
                </c:pt>
                <c:pt idx="59">
                  <c:v>0</c:v>
                </c:pt>
                <c:pt idx="60">
                  <c:v>0</c:v>
                </c:pt>
                <c:pt idx="61">
                  <c:v>0</c:v>
                </c:pt>
                <c:pt idx="62">
                  <c:v>0</c:v>
                </c:pt>
                <c:pt idx="63">
                  <c:v>0</c:v>
                </c:pt>
                <c:pt idx="64">
                  <c:v>0</c:v>
                </c:pt>
              </c:numCache>
            </c:numRef>
          </c:val>
          <c:smooth val="0"/>
          <c:extLst>
            <c:ext xmlns:c16="http://schemas.microsoft.com/office/drawing/2014/chart" uri="{C3380CC4-5D6E-409C-BE32-E72D297353CC}">
              <c16:uniqueId val="{00000001-3E6C-4D9F-BC58-525B56AD48AB}"/>
            </c:ext>
          </c:extLst>
        </c:ser>
        <c:ser>
          <c:idx val="2"/>
          <c:order val="2"/>
          <c:tx>
            <c:strRef>
              <c:f>'2019_2020'!$K$70</c:f>
              <c:strCache>
                <c:ptCount val="1"/>
                <c:pt idx="0">
                  <c:v>HMPV</c:v>
                </c:pt>
              </c:strCache>
            </c:strRef>
          </c:tx>
          <c:spPr>
            <a:ln w="19050" cap="rnd">
              <a:solidFill>
                <a:schemeClr val="tx1">
                  <a:lumMod val="65000"/>
                  <a:lumOff val="35000"/>
                </a:schemeClr>
              </a:solidFill>
              <a:round/>
            </a:ln>
            <a:effectLst/>
          </c:spPr>
          <c:marker>
            <c:symbol val="none"/>
          </c:marker>
          <c:cat>
            <c:numRef>
              <c:f>'2019_2020'!$H$71:$H$135</c:f>
              <c:numCache>
                <c:formatCode>General</c:formatCode>
                <c:ptCount val="65"/>
                <c:pt idx="0">
                  <c:v>40</c:v>
                </c:pt>
                <c:pt idx="1">
                  <c:v>41</c:v>
                </c:pt>
                <c:pt idx="2">
                  <c:v>42</c:v>
                </c:pt>
                <c:pt idx="3">
                  <c:v>43</c:v>
                </c:pt>
                <c:pt idx="4">
                  <c:v>44</c:v>
                </c:pt>
                <c:pt idx="5">
                  <c:v>45</c:v>
                </c:pt>
                <c:pt idx="6">
                  <c:v>46</c:v>
                </c:pt>
                <c:pt idx="7">
                  <c:v>47</c:v>
                </c:pt>
                <c:pt idx="8">
                  <c:v>48</c:v>
                </c:pt>
                <c:pt idx="9">
                  <c:v>49</c:v>
                </c:pt>
                <c:pt idx="10">
                  <c:v>50</c:v>
                </c:pt>
                <c:pt idx="11">
                  <c:v>51</c:v>
                </c:pt>
                <c:pt idx="12">
                  <c:v>52</c:v>
                </c:pt>
                <c:pt idx="13">
                  <c:v>1</c:v>
                </c:pt>
                <c:pt idx="14">
                  <c:v>2</c:v>
                </c:pt>
                <c:pt idx="15">
                  <c:v>3</c:v>
                </c:pt>
                <c:pt idx="16">
                  <c:v>4</c:v>
                </c:pt>
                <c:pt idx="17">
                  <c:v>5</c:v>
                </c:pt>
                <c:pt idx="18">
                  <c:v>6</c:v>
                </c:pt>
                <c:pt idx="19">
                  <c:v>7</c:v>
                </c:pt>
                <c:pt idx="20">
                  <c:v>8</c:v>
                </c:pt>
                <c:pt idx="21">
                  <c:v>9</c:v>
                </c:pt>
                <c:pt idx="22">
                  <c:v>10</c:v>
                </c:pt>
                <c:pt idx="23">
                  <c:v>11</c:v>
                </c:pt>
                <c:pt idx="24">
                  <c:v>12</c:v>
                </c:pt>
                <c:pt idx="25">
                  <c:v>13</c:v>
                </c:pt>
                <c:pt idx="26">
                  <c:v>14</c:v>
                </c:pt>
                <c:pt idx="27">
                  <c:v>15</c:v>
                </c:pt>
                <c:pt idx="28">
                  <c:v>16</c:v>
                </c:pt>
                <c:pt idx="29">
                  <c:v>17</c:v>
                </c:pt>
                <c:pt idx="30">
                  <c:v>18</c:v>
                </c:pt>
                <c:pt idx="31">
                  <c:v>19</c:v>
                </c:pt>
                <c:pt idx="32">
                  <c:v>20</c:v>
                </c:pt>
                <c:pt idx="33">
                  <c:v>21</c:v>
                </c:pt>
                <c:pt idx="34">
                  <c:v>22</c:v>
                </c:pt>
                <c:pt idx="35">
                  <c:v>23</c:v>
                </c:pt>
                <c:pt idx="36">
                  <c:v>24</c:v>
                </c:pt>
                <c:pt idx="37">
                  <c:v>25</c:v>
                </c:pt>
                <c:pt idx="38">
                  <c:v>26</c:v>
                </c:pt>
                <c:pt idx="39">
                  <c:v>27</c:v>
                </c:pt>
                <c:pt idx="40">
                  <c:v>28</c:v>
                </c:pt>
                <c:pt idx="41">
                  <c:v>29</c:v>
                </c:pt>
                <c:pt idx="42">
                  <c:v>30</c:v>
                </c:pt>
                <c:pt idx="43">
                  <c:v>31</c:v>
                </c:pt>
                <c:pt idx="44">
                  <c:v>32</c:v>
                </c:pt>
                <c:pt idx="45">
                  <c:v>33</c:v>
                </c:pt>
                <c:pt idx="46">
                  <c:v>34</c:v>
                </c:pt>
                <c:pt idx="47">
                  <c:v>35</c:v>
                </c:pt>
                <c:pt idx="48">
                  <c:v>36</c:v>
                </c:pt>
                <c:pt idx="49">
                  <c:v>37</c:v>
                </c:pt>
                <c:pt idx="50">
                  <c:v>38</c:v>
                </c:pt>
                <c:pt idx="51">
                  <c:v>39</c:v>
                </c:pt>
                <c:pt idx="52">
                  <c:v>40</c:v>
                </c:pt>
                <c:pt idx="53">
                  <c:v>41</c:v>
                </c:pt>
                <c:pt idx="54">
                  <c:v>42</c:v>
                </c:pt>
                <c:pt idx="55">
                  <c:v>43</c:v>
                </c:pt>
                <c:pt idx="56">
                  <c:v>44</c:v>
                </c:pt>
                <c:pt idx="57">
                  <c:v>45</c:v>
                </c:pt>
                <c:pt idx="58">
                  <c:v>46</c:v>
                </c:pt>
                <c:pt idx="59">
                  <c:v>47</c:v>
                </c:pt>
                <c:pt idx="60">
                  <c:v>48</c:v>
                </c:pt>
                <c:pt idx="61">
                  <c:v>49</c:v>
                </c:pt>
                <c:pt idx="62">
                  <c:v>50</c:v>
                </c:pt>
                <c:pt idx="63">
                  <c:v>51</c:v>
                </c:pt>
                <c:pt idx="64">
                  <c:v>52</c:v>
                </c:pt>
              </c:numCache>
            </c:numRef>
          </c:cat>
          <c:val>
            <c:numRef>
              <c:f>'2019_2020'!$K$71:$K$135</c:f>
              <c:numCache>
                <c:formatCode>General</c:formatCode>
                <c:ptCount val="65"/>
                <c:pt idx="0">
                  <c:v>0</c:v>
                </c:pt>
                <c:pt idx="1">
                  <c:v>6.6</c:v>
                </c:pt>
                <c:pt idx="2">
                  <c:v>0</c:v>
                </c:pt>
                <c:pt idx="3">
                  <c:v>0</c:v>
                </c:pt>
                <c:pt idx="4">
                  <c:v>0</c:v>
                </c:pt>
                <c:pt idx="5">
                  <c:v>0</c:v>
                </c:pt>
                <c:pt idx="6">
                  <c:v>3.33</c:v>
                </c:pt>
                <c:pt idx="7">
                  <c:v>1.05</c:v>
                </c:pt>
                <c:pt idx="8">
                  <c:v>8.82</c:v>
                </c:pt>
                <c:pt idx="9">
                  <c:v>1.9</c:v>
                </c:pt>
                <c:pt idx="10">
                  <c:v>5.0999999999999996</c:v>
                </c:pt>
                <c:pt idx="11">
                  <c:v>8.7899999999999991</c:v>
                </c:pt>
                <c:pt idx="12">
                  <c:v>4.3499999999999996</c:v>
                </c:pt>
                <c:pt idx="13">
                  <c:v>4.6500000000000004</c:v>
                </c:pt>
                <c:pt idx="14">
                  <c:v>6.26</c:v>
                </c:pt>
                <c:pt idx="15">
                  <c:v>6.12</c:v>
                </c:pt>
                <c:pt idx="16">
                  <c:v>9.09</c:v>
                </c:pt>
                <c:pt idx="17">
                  <c:v>11.2</c:v>
                </c:pt>
                <c:pt idx="18">
                  <c:v>10.96</c:v>
                </c:pt>
                <c:pt idx="19">
                  <c:v>7.91</c:v>
                </c:pt>
                <c:pt idx="20">
                  <c:v>10.47</c:v>
                </c:pt>
                <c:pt idx="21">
                  <c:v>7.86</c:v>
                </c:pt>
                <c:pt idx="22">
                  <c:v>6.46</c:v>
                </c:pt>
                <c:pt idx="23">
                  <c:v>5.74</c:v>
                </c:pt>
                <c:pt idx="24">
                  <c:v>3.86</c:v>
                </c:pt>
                <c:pt idx="25">
                  <c:v>7.52</c:v>
                </c:pt>
                <c:pt idx="26">
                  <c:v>7.92</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numCache>
            </c:numRef>
          </c:val>
          <c:smooth val="0"/>
          <c:extLst>
            <c:ext xmlns:c16="http://schemas.microsoft.com/office/drawing/2014/chart" uri="{C3380CC4-5D6E-409C-BE32-E72D297353CC}">
              <c16:uniqueId val="{00000002-3E6C-4D9F-BC58-525B56AD48AB}"/>
            </c:ext>
          </c:extLst>
        </c:ser>
        <c:ser>
          <c:idx val="3"/>
          <c:order val="3"/>
          <c:tx>
            <c:strRef>
              <c:f>'2019_2020'!$L$70</c:f>
              <c:strCache>
                <c:ptCount val="1"/>
                <c:pt idx="0">
                  <c:v>RSV</c:v>
                </c:pt>
              </c:strCache>
            </c:strRef>
          </c:tx>
          <c:spPr>
            <a:ln w="19050" cap="rnd">
              <a:solidFill>
                <a:schemeClr val="accent4"/>
              </a:solidFill>
              <a:round/>
            </a:ln>
            <a:effectLst/>
          </c:spPr>
          <c:marker>
            <c:symbol val="none"/>
          </c:marker>
          <c:cat>
            <c:numRef>
              <c:f>'2019_2020'!$H$71:$H$135</c:f>
              <c:numCache>
                <c:formatCode>General</c:formatCode>
                <c:ptCount val="65"/>
                <c:pt idx="0">
                  <c:v>40</c:v>
                </c:pt>
                <c:pt idx="1">
                  <c:v>41</c:v>
                </c:pt>
                <c:pt idx="2">
                  <c:v>42</c:v>
                </c:pt>
                <c:pt idx="3">
                  <c:v>43</c:v>
                </c:pt>
                <c:pt idx="4">
                  <c:v>44</c:v>
                </c:pt>
                <c:pt idx="5">
                  <c:v>45</c:v>
                </c:pt>
                <c:pt idx="6">
                  <c:v>46</c:v>
                </c:pt>
                <c:pt idx="7">
                  <c:v>47</c:v>
                </c:pt>
                <c:pt idx="8">
                  <c:v>48</c:v>
                </c:pt>
                <c:pt idx="9">
                  <c:v>49</c:v>
                </c:pt>
                <c:pt idx="10">
                  <c:v>50</c:v>
                </c:pt>
                <c:pt idx="11">
                  <c:v>51</c:v>
                </c:pt>
                <c:pt idx="12">
                  <c:v>52</c:v>
                </c:pt>
                <c:pt idx="13">
                  <c:v>1</c:v>
                </c:pt>
                <c:pt idx="14">
                  <c:v>2</c:v>
                </c:pt>
                <c:pt idx="15">
                  <c:v>3</c:v>
                </c:pt>
                <c:pt idx="16">
                  <c:v>4</c:v>
                </c:pt>
                <c:pt idx="17">
                  <c:v>5</c:v>
                </c:pt>
                <c:pt idx="18">
                  <c:v>6</c:v>
                </c:pt>
                <c:pt idx="19">
                  <c:v>7</c:v>
                </c:pt>
                <c:pt idx="20">
                  <c:v>8</c:v>
                </c:pt>
                <c:pt idx="21">
                  <c:v>9</c:v>
                </c:pt>
                <c:pt idx="22">
                  <c:v>10</c:v>
                </c:pt>
                <c:pt idx="23">
                  <c:v>11</c:v>
                </c:pt>
                <c:pt idx="24">
                  <c:v>12</c:v>
                </c:pt>
                <c:pt idx="25">
                  <c:v>13</c:v>
                </c:pt>
                <c:pt idx="26">
                  <c:v>14</c:v>
                </c:pt>
                <c:pt idx="27">
                  <c:v>15</c:v>
                </c:pt>
                <c:pt idx="28">
                  <c:v>16</c:v>
                </c:pt>
                <c:pt idx="29">
                  <c:v>17</c:v>
                </c:pt>
                <c:pt idx="30">
                  <c:v>18</c:v>
                </c:pt>
                <c:pt idx="31">
                  <c:v>19</c:v>
                </c:pt>
                <c:pt idx="32">
                  <c:v>20</c:v>
                </c:pt>
                <c:pt idx="33">
                  <c:v>21</c:v>
                </c:pt>
                <c:pt idx="34">
                  <c:v>22</c:v>
                </c:pt>
                <c:pt idx="35">
                  <c:v>23</c:v>
                </c:pt>
                <c:pt idx="36">
                  <c:v>24</c:v>
                </c:pt>
                <c:pt idx="37">
                  <c:v>25</c:v>
                </c:pt>
                <c:pt idx="38">
                  <c:v>26</c:v>
                </c:pt>
                <c:pt idx="39">
                  <c:v>27</c:v>
                </c:pt>
                <c:pt idx="40">
                  <c:v>28</c:v>
                </c:pt>
                <c:pt idx="41">
                  <c:v>29</c:v>
                </c:pt>
                <c:pt idx="42">
                  <c:v>30</c:v>
                </c:pt>
                <c:pt idx="43">
                  <c:v>31</c:v>
                </c:pt>
                <c:pt idx="44">
                  <c:v>32</c:v>
                </c:pt>
                <c:pt idx="45">
                  <c:v>33</c:v>
                </c:pt>
                <c:pt idx="46">
                  <c:v>34</c:v>
                </c:pt>
                <c:pt idx="47">
                  <c:v>35</c:v>
                </c:pt>
                <c:pt idx="48">
                  <c:v>36</c:v>
                </c:pt>
                <c:pt idx="49">
                  <c:v>37</c:v>
                </c:pt>
                <c:pt idx="50">
                  <c:v>38</c:v>
                </c:pt>
                <c:pt idx="51">
                  <c:v>39</c:v>
                </c:pt>
                <c:pt idx="52">
                  <c:v>40</c:v>
                </c:pt>
                <c:pt idx="53">
                  <c:v>41</c:v>
                </c:pt>
                <c:pt idx="54">
                  <c:v>42</c:v>
                </c:pt>
                <c:pt idx="55">
                  <c:v>43</c:v>
                </c:pt>
                <c:pt idx="56">
                  <c:v>44</c:v>
                </c:pt>
                <c:pt idx="57">
                  <c:v>45</c:v>
                </c:pt>
                <c:pt idx="58">
                  <c:v>46</c:v>
                </c:pt>
                <c:pt idx="59">
                  <c:v>47</c:v>
                </c:pt>
                <c:pt idx="60">
                  <c:v>48</c:v>
                </c:pt>
                <c:pt idx="61">
                  <c:v>49</c:v>
                </c:pt>
                <c:pt idx="62">
                  <c:v>50</c:v>
                </c:pt>
                <c:pt idx="63">
                  <c:v>51</c:v>
                </c:pt>
                <c:pt idx="64">
                  <c:v>52</c:v>
                </c:pt>
              </c:numCache>
            </c:numRef>
          </c:cat>
          <c:val>
            <c:numRef>
              <c:f>'2019_2020'!$L$71:$L$135</c:f>
              <c:numCache>
                <c:formatCode>General</c:formatCode>
                <c:ptCount val="65"/>
                <c:pt idx="0">
                  <c:v>0</c:v>
                </c:pt>
                <c:pt idx="1">
                  <c:v>0</c:v>
                </c:pt>
                <c:pt idx="2">
                  <c:v>0</c:v>
                </c:pt>
                <c:pt idx="3">
                  <c:v>1.5</c:v>
                </c:pt>
                <c:pt idx="4">
                  <c:v>0</c:v>
                </c:pt>
                <c:pt idx="5">
                  <c:v>0</c:v>
                </c:pt>
                <c:pt idx="6">
                  <c:v>0</c:v>
                </c:pt>
                <c:pt idx="7">
                  <c:v>3.16</c:v>
                </c:pt>
                <c:pt idx="8">
                  <c:v>2.94</c:v>
                </c:pt>
                <c:pt idx="9">
                  <c:v>3.81</c:v>
                </c:pt>
                <c:pt idx="10">
                  <c:v>3.01</c:v>
                </c:pt>
                <c:pt idx="11">
                  <c:v>7.69</c:v>
                </c:pt>
                <c:pt idx="12">
                  <c:v>13.04</c:v>
                </c:pt>
                <c:pt idx="13">
                  <c:v>11.63</c:v>
                </c:pt>
                <c:pt idx="14">
                  <c:v>1.75</c:v>
                </c:pt>
                <c:pt idx="15">
                  <c:v>2.04</c:v>
                </c:pt>
                <c:pt idx="16">
                  <c:v>7.49</c:v>
                </c:pt>
                <c:pt idx="17">
                  <c:v>5.39</c:v>
                </c:pt>
                <c:pt idx="18">
                  <c:v>8.2200000000000006</c:v>
                </c:pt>
                <c:pt idx="19">
                  <c:v>6.98</c:v>
                </c:pt>
                <c:pt idx="20">
                  <c:v>12.56</c:v>
                </c:pt>
                <c:pt idx="21">
                  <c:v>9.17</c:v>
                </c:pt>
                <c:pt idx="22">
                  <c:v>6.46</c:v>
                </c:pt>
                <c:pt idx="23">
                  <c:v>3.28</c:v>
                </c:pt>
                <c:pt idx="24">
                  <c:v>7.93</c:v>
                </c:pt>
                <c:pt idx="25">
                  <c:v>6.01</c:v>
                </c:pt>
                <c:pt idx="26">
                  <c:v>0.99</c:v>
                </c:pt>
                <c:pt idx="27">
                  <c:v>0</c:v>
                </c:pt>
                <c:pt idx="28">
                  <c:v>2.44</c:v>
                </c:pt>
                <c:pt idx="29">
                  <c:v>3.03</c:v>
                </c:pt>
                <c:pt idx="30">
                  <c:v>0</c:v>
                </c:pt>
                <c:pt idx="31">
                  <c:v>1.64</c:v>
                </c:pt>
                <c:pt idx="32">
                  <c:v>3.51</c:v>
                </c:pt>
                <c:pt idx="33">
                  <c:v>2.56</c:v>
                </c:pt>
                <c:pt idx="34">
                  <c:v>0</c:v>
                </c:pt>
                <c:pt idx="35">
                  <c:v>0</c:v>
                </c:pt>
                <c:pt idx="36">
                  <c:v>2.78</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numCache>
            </c:numRef>
          </c:val>
          <c:smooth val="0"/>
          <c:extLst>
            <c:ext xmlns:c16="http://schemas.microsoft.com/office/drawing/2014/chart" uri="{C3380CC4-5D6E-409C-BE32-E72D297353CC}">
              <c16:uniqueId val="{00000003-3E6C-4D9F-BC58-525B56AD48AB}"/>
            </c:ext>
          </c:extLst>
        </c:ser>
        <c:ser>
          <c:idx val="4"/>
          <c:order val="4"/>
          <c:tx>
            <c:strRef>
              <c:f>'2019_2020'!$M$70</c:f>
              <c:strCache>
                <c:ptCount val="1"/>
                <c:pt idx="0">
                  <c:v>SARS-CoV-2</c:v>
                </c:pt>
              </c:strCache>
            </c:strRef>
          </c:tx>
          <c:spPr>
            <a:ln w="28575" cap="rnd">
              <a:solidFill>
                <a:srgbClr val="FF0000"/>
              </a:solidFill>
              <a:round/>
            </a:ln>
            <a:effectLst/>
          </c:spPr>
          <c:marker>
            <c:symbol val="none"/>
          </c:marker>
          <c:cat>
            <c:numRef>
              <c:f>'2019_2020'!$H$71:$H$135</c:f>
              <c:numCache>
                <c:formatCode>General</c:formatCode>
                <c:ptCount val="65"/>
                <c:pt idx="0">
                  <c:v>40</c:v>
                </c:pt>
                <c:pt idx="1">
                  <c:v>41</c:v>
                </c:pt>
                <c:pt idx="2">
                  <c:v>42</c:v>
                </c:pt>
                <c:pt idx="3">
                  <c:v>43</c:v>
                </c:pt>
                <c:pt idx="4">
                  <c:v>44</c:v>
                </c:pt>
                <c:pt idx="5">
                  <c:v>45</c:v>
                </c:pt>
                <c:pt idx="6">
                  <c:v>46</c:v>
                </c:pt>
                <c:pt idx="7">
                  <c:v>47</c:v>
                </c:pt>
                <c:pt idx="8">
                  <c:v>48</c:v>
                </c:pt>
                <c:pt idx="9">
                  <c:v>49</c:v>
                </c:pt>
                <c:pt idx="10">
                  <c:v>50</c:v>
                </c:pt>
                <c:pt idx="11">
                  <c:v>51</c:v>
                </c:pt>
                <c:pt idx="12">
                  <c:v>52</c:v>
                </c:pt>
                <c:pt idx="13">
                  <c:v>1</c:v>
                </c:pt>
                <c:pt idx="14">
                  <c:v>2</c:v>
                </c:pt>
                <c:pt idx="15">
                  <c:v>3</c:v>
                </c:pt>
                <c:pt idx="16">
                  <c:v>4</c:v>
                </c:pt>
                <c:pt idx="17">
                  <c:v>5</c:v>
                </c:pt>
                <c:pt idx="18">
                  <c:v>6</c:v>
                </c:pt>
                <c:pt idx="19">
                  <c:v>7</c:v>
                </c:pt>
                <c:pt idx="20">
                  <c:v>8</c:v>
                </c:pt>
                <c:pt idx="21">
                  <c:v>9</c:v>
                </c:pt>
                <c:pt idx="22">
                  <c:v>10</c:v>
                </c:pt>
                <c:pt idx="23">
                  <c:v>11</c:v>
                </c:pt>
                <c:pt idx="24">
                  <c:v>12</c:v>
                </c:pt>
                <c:pt idx="25">
                  <c:v>13</c:v>
                </c:pt>
                <c:pt idx="26">
                  <c:v>14</c:v>
                </c:pt>
                <c:pt idx="27">
                  <c:v>15</c:v>
                </c:pt>
                <c:pt idx="28">
                  <c:v>16</c:v>
                </c:pt>
                <c:pt idx="29">
                  <c:v>17</c:v>
                </c:pt>
                <c:pt idx="30">
                  <c:v>18</c:v>
                </c:pt>
                <c:pt idx="31">
                  <c:v>19</c:v>
                </c:pt>
                <c:pt idx="32">
                  <c:v>20</c:v>
                </c:pt>
                <c:pt idx="33">
                  <c:v>21</c:v>
                </c:pt>
                <c:pt idx="34">
                  <c:v>22</c:v>
                </c:pt>
                <c:pt idx="35">
                  <c:v>23</c:v>
                </c:pt>
                <c:pt idx="36">
                  <c:v>24</c:v>
                </c:pt>
                <c:pt idx="37">
                  <c:v>25</c:v>
                </c:pt>
                <c:pt idx="38">
                  <c:v>26</c:v>
                </c:pt>
                <c:pt idx="39">
                  <c:v>27</c:v>
                </c:pt>
                <c:pt idx="40">
                  <c:v>28</c:v>
                </c:pt>
                <c:pt idx="41">
                  <c:v>29</c:v>
                </c:pt>
                <c:pt idx="42">
                  <c:v>30</c:v>
                </c:pt>
                <c:pt idx="43">
                  <c:v>31</c:v>
                </c:pt>
                <c:pt idx="44">
                  <c:v>32</c:v>
                </c:pt>
                <c:pt idx="45">
                  <c:v>33</c:v>
                </c:pt>
                <c:pt idx="46">
                  <c:v>34</c:v>
                </c:pt>
                <c:pt idx="47">
                  <c:v>35</c:v>
                </c:pt>
                <c:pt idx="48">
                  <c:v>36</c:v>
                </c:pt>
                <c:pt idx="49">
                  <c:v>37</c:v>
                </c:pt>
                <c:pt idx="50">
                  <c:v>38</c:v>
                </c:pt>
                <c:pt idx="51">
                  <c:v>39</c:v>
                </c:pt>
                <c:pt idx="52">
                  <c:v>40</c:v>
                </c:pt>
                <c:pt idx="53">
                  <c:v>41</c:v>
                </c:pt>
                <c:pt idx="54">
                  <c:v>42</c:v>
                </c:pt>
                <c:pt idx="55">
                  <c:v>43</c:v>
                </c:pt>
                <c:pt idx="56">
                  <c:v>44</c:v>
                </c:pt>
                <c:pt idx="57">
                  <c:v>45</c:v>
                </c:pt>
                <c:pt idx="58">
                  <c:v>46</c:v>
                </c:pt>
                <c:pt idx="59">
                  <c:v>47</c:v>
                </c:pt>
                <c:pt idx="60">
                  <c:v>48</c:v>
                </c:pt>
                <c:pt idx="61">
                  <c:v>49</c:v>
                </c:pt>
                <c:pt idx="62">
                  <c:v>50</c:v>
                </c:pt>
                <c:pt idx="63">
                  <c:v>51</c:v>
                </c:pt>
                <c:pt idx="64">
                  <c:v>52</c:v>
                </c:pt>
              </c:numCache>
            </c:numRef>
          </c:cat>
          <c:val>
            <c:numRef>
              <c:f>'2019_2020'!$M$71:$M$135</c:f>
              <c:numCache>
                <c:formatCode>General</c:formatCode>
                <c:ptCount val="65"/>
                <c:pt idx="20">
                  <c:v>0</c:v>
                </c:pt>
                <c:pt idx="21">
                  <c:v>0</c:v>
                </c:pt>
                <c:pt idx="22">
                  <c:v>0.4</c:v>
                </c:pt>
                <c:pt idx="23">
                  <c:v>0.9</c:v>
                </c:pt>
                <c:pt idx="24">
                  <c:v>1.5</c:v>
                </c:pt>
                <c:pt idx="25">
                  <c:v>3.1</c:v>
                </c:pt>
                <c:pt idx="26">
                  <c:v>2</c:v>
                </c:pt>
                <c:pt idx="27">
                  <c:v>2.5</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1.82</c:v>
                </c:pt>
                <c:pt idx="52">
                  <c:v>1.79</c:v>
                </c:pt>
                <c:pt idx="53">
                  <c:v>5.45</c:v>
                </c:pt>
                <c:pt idx="54">
                  <c:v>0</c:v>
                </c:pt>
                <c:pt idx="55">
                  <c:v>0</c:v>
                </c:pt>
                <c:pt idx="56">
                  <c:v>5.66</c:v>
                </c:pt>
                <c:pt idx="57">
                  <c:v>3.84</c:v>
                </c:pt>
                <c:pt idx="58">
                  <c:v>2.33</c:v>
                </c:pt>
                <c:pt idx="59">
                  <c:v>2.1</c:v>
                </c:pt>
                <c:pt idx="60">
                  <c:v>5.2</c:v>
                </c:pt>
                <c:pt idx="61">
                  <c:v>10.64</c:v>
                </c:pt>
                <c:pt idx="62">
                  <c:v>11.06</c:v>
                </c:pt>
                <c:pt idx="63">
                  <c:v>8.6</c:v>
                </c:pt>
                <c:pt idx="64">
                  <c:v>15.49</c:v>
                </c:pt>
              </c:numCache>
            </c:numRef>
          </c:val>
          <c:smooth val="0"/>
          <c:extLst>
            <c:ext xmlns:c16="http://schemas.microsoft.com/office/drawing/2014/chart" uri="{C3380CC4-5D6E-409C-BE32-E72D297353CC}">
              <c16:uniqueId val="{00000004-3E6C-4D9F-BC58-525B56AD48AB}"/>
            </c:ext>
          </c:extLst>
        </c:ser>
        <c:dLbls>
          <c:showLegendKey val="0"/>
          <c:showVal val="0"/>
          <c:showCatName val="0"/>
          <c:showSerName val="0"/>
          <c:showPercent val="0"/>
          <c:showBubbleSize val="0"/>
        </c:dLbls>
        <c:smooth val="0"/>
        <c:axId val="559696960"/>
        <c:axId val="559697288"/>
      </c:lineChart>
      <c:catAx>
        <c:axId val="559696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Week 2019/20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59697288"/>
        <c:crosses val="autoZero"/>
        <c:auto val="1"/>
        <c:lblAlgn val="ctr"/>
        <c:lblOffset val="100"/>
        <c:tickLblSkip val="2"/>
        <c:noMultiLvlLbl val="0"/>
      </c:catAx>
      <c:valAx>
        <c:axId val="559697288"/>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Relative frequency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596969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B8DE2-089C-4FAF-B573-183FFD133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3431</Words>
  <Characters>21620</Characters>
  <Application>Microsoft Office Word</Application>
  <DocSecurity>0</DocSecurity>
  <Lines>180</Lines>
  <Paragraphs>50</Paragraphs>
  <ScaleCrop>false</ScaleCrop>
  <HeadingPairs>
    <vt:vector size="2" baseType="variant">
      <vt:variant>
        <vt:lpstr>Titel</vt:lpstr>
      </vt:variant>
      <vt:variant>
        <vt:i4>1</vt:i4>
      </vt:variant>
    </vt:vector>
  </HeadingPairs>
  <TitlesOfParts>
    <vt:vector size="1" baseType="lpstr">
      <vt:lpstr/>
    </vt:vector>
  </TitlesOfParts>
  <Company>Robert Koch-Institut</Company>
  <LinksUpToDate>false</LinksUpToDate>
  <CharactersWithSpaces>25001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Weber</dc:creator>
  <cp:lastModifiedBy>Grote, Ulrike</cp:lastModifiedBy>
  <cp:revision>2</cp:revision>
  <cp:lastPrinted>2015-11-27T15:24:00Z</cp:lastPrinted>
  <dcterms:created xsi:type="dcterms:W3CDTF">2021-01-04T14:55:00Z</dcterms:created>
  <dcterms:modified xsi:type="dcterms:W3CDTF">2021-01-04T14:55:00Z</dcterms:modified>
</cp:coreProperties>
</file>