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Scala Sans OT" w:hAnsi="Scala Sans OT"/>
        </w:rPr>
      </w:pPr>
      <w:r>
        <w:rPr>
          <w:rFonts w:ascii="Scala Sans OT" w:hAnsi="Scala Sans OT"/>
          <w:noProof/>
        </w:rPr>
        <w:drawing>
          <wp:anchor distT="0" distB="0" distL="114300" distR="114300" simplePos="0" relativeHeight="251658239" behindDoc="0" locked="1" layoutInCell="1" allowOverlap="1">
            <wp:simplePos x="0" y="0"/>
            <wp:positionH relativeFrom="column">
              <wp:posOffset>3052445</wp:posOffset>
            </wp:positionH>
            <wp:positionV relativeFrom="page">
              <wp:posOffset>900430</wp:posOffset>
            </wp:positionV>
            <wp:extent cx="2709545" cy="785495"/>
            <wp:effectExtent l="0" t="0" r="8255" b="190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KI-Logo_RGB_P300C.tif"/>
                    <pic:cNvPicPr/>
                  </pic:nvPicPr>
                  <pic:blipFill>
                    <a:blip r:embed="rId8">
                      <a:alphaModFix/>
                      <a:extLst>
                        <a:ext uri="{28A0092B-C50C-407E-A947-70E740481C1C}">
                          <a14:useLocalDpi xmlns:a14="http://schemas.microsoft.com/office/drawing/2010/main" val="0"/>
                        </a:ext>
                      </a:extLst>
                    </a:blip>
                    <a:stretch>
                      <a:fillRect/>
                    </a:stretch>
                  </pic:blipFill>
                  <pic:spPr>
                    <a:xfrm>
                      <a:off x="0" y="0"/>
                      <a:ext cx="2709545" cy="785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Scala Sans OT" w:hAnsi="Scala Sans OT"/>
          <w:noProof/>
        </w:rPr>
        <mc:AlternateContent>
          <mc:Choice Requires="wps">
            <w:drawing>
              <wp:anchor distT="0" distB="0" distL="114300" distR="114300" simplePos="0" relativeHeight="251659264" behindDoc="0" locked="1" layoutInCell="1" allowOverlap="1">
                <wp:simplePos x="0" y="0"/>
                <wp:positionH relativeFrom="page">
                  <wp:posOffset>540385</wp:posOffset>
                </wp:positionH>
                <wp:positionV relativeFrom="page">
                  <wp:posOffset>6069965</wp:posOffset>
                </wp:positionV>
                <wp:extent cx="6119495" cy="2465705"/>
                <wp:effectExtent l="0" t="0" r="1905" b="0"/>
                <wp:wrapNone/>
                <wp:docPr id="2" name="Textfeld 2"/>
                <wp:cNvGraphicFramePr/>
                <a:graphic xmlns:a="http://schemas.openxmlformats.org/drawingml/2006/main">
                  <a:graphicData uri="http://schemas.microsoft.com/office/word/2010/wordprocessingShape">
                    <wps:wsp>
                      <wps:cNvSpPr txBox="1"/>
                      <wps:spPr>
                        <a:xfrm>
                          <a:off x="0" y="0"/>
                          <a:ext cx="6119495" cy="2465705"/>
                        </a:xfrm>
                        <a:prstGeom prst="rect">
                          <a:avLst/>
                        </a:prstGeom>
                        <a:solidFill>
                          <a:srgbClr val="367BB8"/>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rPr>
                                <w:rFonts w:ascii="Scala Sans OT" w:hAnsi="Scala Sans OT"/>
                                <w:color w:val="FFFFFF" w:themeColor="background1"/>
                                <w:sz w:val="40"/>
                                <w:szCs w:val="48"/>
                              </w:rPr>
                            </w:pPr>
                            <w:r>
                              <w:rPr>
                                <w:rFonts w:ascii="Scala Sans OT" w:hAnsi="Scala Sans OT"/>
                                <w:color w:val="FFFFFF" w:themeColor="background1"/>
                                <w:sz w:val="40"/>
                                <w:szCs w:val="48"/>
                              </w:rPr>
                              <w:t>Anlage zum Initiativbericht</w:t>
                            </w:r>
                          </w:p>
                          <w:p>
                            <w:pPr>
                              <w:rPr>
                                <w:b/>
                              </w:rPr>
                            </w:pPr>
                            <w:r>
                              <w:rPr>
                                <w:rFonts w:ascii="Scala Sans OT" w:hAnsi="Scala Sans OT"/>
                                <w:color w:val="FFFFFF" w:themeColor="background1"/>
                                <w:sz w:val="40"/>
                                <w:szCs w:val="48"/>
                              </w:rPr>
                              <w:t>„Bevölkerungsbezogene antiepidemische Maßnahmen nach dem 10. Januar 2021“</w:t>
                            </w:r>
                          </w:p>
                          <w:p>
                            <w:pPr>
                              <w:pStyle w:val="NurText"/>
                              <w:rPr>
                                <w:color w:val="FF0000"/>
                                <w:sz w:val="18"/>
                                <w:lang w:val="de-DE"/>
                              </w:rPr>
                            </w:pPr>
                          </w:p>
                          <w:p>
                            <w:pPr>
                              <w:pStyle w:val="RKITitel"/>
                              <w:rPr>
                                <w:rFonts w:ascii="Scala Sans OT" w:hAnsi="Scala Sans OT"/>
                                <w:sz w:val="40"/>
                              </w:rPr>
                            </w:pPr>
                          </w:p>
                        </w:txbxContent>
                      </wps:txbx>
                      <wps:bodyPr rot="0" spcFirstLastPara="0" vertOverflow="overflow" horzOverflow="overflow" vert="horz" wrap="square" lIns="648000" tIns="234000" rIns="684000" bIns="45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2.55pt;margin-top:477.95pt;width:481.85pt;height:19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" fillcolor="#367bb8" stroked="f">
                <v:textbox inset="18mm,6.5mm,19mm,12.5mm">
                  <w:txbxContent>
                    <w:p>
                      <w:pPr>
                        <w:rPr>
                          <w:rFonts w:ascii="Scala Sans OT" w:hAnsi="Scala Sans OT"/>
                          <w:color w:val="FFFFFF" w:themeColor="background1"/>
                          <w:sz w:val="40"/>
                          <w:szCs w:val="48"/>
                        </w:rPr>
                      </w:pPr>
                      <w:r>
                        <w:rPr>
                          <w:rFonts w:ascii="Scala Sans OT" w:hAnsi="Scala Sans OT"/>
                          <w:color w:val="FFFFFF" w:themeColor="background1"/>
                          <w:sz w:val="40"/>
                          <w:szCs w:val="48"/>
                        </w:rPr>
                        <w:t>Anlage zum Initiativbericht</w:t>
                      </w:r>
                    </w:p>
                    <w:p>
                      <w:pPr>
                        <w:rPr>
                          <w:b/>
                        </w:rPr>
                      </w:pPr>
                      <w:r>
                        <w:rPr>
                          <w:rFonts w:ascii="Scala Sans OT" w:hAnsi="Scala Sans OT"/>
                          <w:color w:val="FFFFFF" w:themeColor="background1"/>
                          <w:sz w:val="40"/>
                          <w:szCs w:val="48"/>
                        </w:rPr>
                        <w:t>„Bevölkerungsbezogene antiepidemische Maßnahmen nach dem 10. Januar 2021“</w:t>
                      </w:r>
                    </w:p>
                    <w:p>
                      <w:pPr>
                        <w:pStyle w:val="NurText"/>
                        <w:rPr>
                          <w:color w:val="FF0000"/>
                          <w:sz w:val="18"/>
                          <w:lang w:val="de-DE"/>
                        </w:rPr>
                      </w:pPr>
                    </w:p>
                    <w:p>
                      <w:pPr>
                        <w:pStyle w:val="RKITitel"/>
                        <w:rPr>
                          <w:rFonts w:ascii="Scala Sans OT" w:hAnsi="Scala Sans OT"/>
                          <w:sz w:val="40"/>
                        </w:rPr>
                      </w:pPr>
                    </w:p>
                  </w:txbxContent>
                </v:textbox>
                <w10:wrap anchorx="page" anchory="page"/>
                <w10:anchorlock/>
              </v:shape>
            </w:pict>
          </mc:Fallback>
        </mc:AlternateContent>
      </w:r>
      <w:r>
        <w:rPr>
          <w:rFonts w:ascii="Scala Sans OT" w:hAnsi="Scala Sans OT"/>
          <w:noProof/>
        </w:rPr>
        <mc:AlternateContent>
          <mc:Choice Requires="wps">
            <w:drawing>
              <wp:anchor distT="0" distB="0" distL="114300" distR="114300" simplePos="0" relativeHeight="251660288" behindDoc="1" locked="1" layoutInCell="1" allowOverlap="1">
                <wp:simplePos x="0" y="0"/>
                <wp:positionH relativeFrom="column">
                  <wp:posOffset>5756910</wp:posOffset>
                </wp:positionH>
                <wp:positionV relativeFrom="page">
                  <wp:posOffset>6070600</wp:posOffset>
                </wp:positionV>
                <wp:extent cx="899795" cy="2465705"/>
                <wp:effectExtent l="0" t="0" r="0" b="0"/>
                <wp:wrapNone/>
                <wp:docPr id="3" name="Rechteck 3"/>
                <wp:cNvGraphicFramePr/>
                <a:graphic xmlns:a="http://schemas.openxmlformats.org/drawingml/2006/main">
                  <a:graphicData uri="http://schemas.microsoft.com/office/word/2010/wordprocessingShape">
                    <wps:wsp>
                      <wps:cNvSpPr/>
                      <wps:spPr>
                        <a:xfrm>
                          <a:off x="0" y="0"/>
                          <a:ext cx="899795" cy="2465705"/>
                        </a:xfrm>
                        <a:prstGeom prst="rect">
                          <a:avLst/>
                        </a:prstGeom>
                        <a:solidFill>
                          <a:srgbClr val="689CC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6" style="position:absolute;margin-left:453.3pt;margin-top:478pt;width:70.85pt;height:19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" fillcolor="#689cca" stroked="f">
                <w10:wrap anchory="page"/>
                <w10:anchorlock/>
              </v:rect>
            </w:pict>
          </mc:Fallback>
        </mc:AlternateContent>
      </w:r>
      <w:r>
        <w:rPr>
          <w:rFonts w:ascii="Scala Sans OT" w:hAnsi="Scala Sans OT"/>
          <w:noProof/>
        </w:rPr>
        <mc:AlternateContent>
          <mc:Choice Requires="wpg">
            <w:drawing>
              <wp:anchor distT="0" distB="0" distL="114300" distR="114300" simplePos="0" relativeHeight="251661312" behindDoc="0" locked="1" layoutInCell="1" allowOverlap="1">
                <wp:simplePos x="0" y="0"/>
                <wp:positionH relativeFrom="column">
                  <wp:posOffset>54610</wp:posOffset>
                </wp:positionH>
                <wp:positionV relativeFrom="page">
                  <wp:posOffset>5836285</wp:posOffset>
                </wp:positionV>
                <wp:extent cx="5256530" cy="2933700"/>
                <wp:effectExtent l="0" t="0" r="26670" b="12700"/>
                <wp:wrapNone/>
                <wp:docPr id="8" name="Gruppierung 8"/>
                <wp:cNvGraphicFramePr/>
                <a:graphic xmlns:a="http://schemas.openxmlformats.org/drawingml/2006/main">
                  <a:graphicData uri="http://schemas.microsoft.com/office/word/2010/wordprocessingGroup">
                    <wpg:wgp>
                      <wpg:cNvGrpSpPr/>
                      <wpg:grpSpPr>
                        <a:xfrm>
                          <a:off x="0" y="0"/>
                          <a:ext cx="5256530" cy="2933700"/>
                          <a:chOff x="0" y="0"/>
                          <a:chExt cx="5256530" cy="2933700"/>
                        </a:xfrm>
                      </wpg:grpSpPr>
                      <wps:wsp>
                        <wps:cNvPr id="4" name="Gerade Verbindung 4"/>
                        <wps:cNvCnPr/>
                        <wps:spPr>
                          <a:xfrm>
                            <a:off x="0" y="0"/>
                            <a:ext cx="0" cy="2933700"/>
                          </a:xfrm>
                          <a:prstGeom prst="line">
                            <a:avLst/>
                          </a:prstGeom>
                          <a:ln>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5" name="Gerade Verbindung 5"/>
                        <wps:cNvCnPr/>
                        <wps:spPr>
                          <a:xfrm>
                            <a:off x="5256530" y="0"/>
                            <a:ext cx="0" cy="2933700"/>
                          </a:xfrm>
                          <a:prstGeom prst="line">
                            <a:avLst/>
                          </a:prstGeom>
                          <a:ln>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uppierung 8" o:spid="_x0000_s1026" style="position:absolute;margin-left:4.3pt;margin-top:459.55pt;width:413.9pt;height:231pt;z-index:251661312;mso-position-vertical-relative:page" coordsize="5256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">
                <v:line id="Gerade Verbindung 4" o:spid="_x0000_s1027" style="position:absolute;visibility:visible;mso-wrap-style:square" from="0,0" to="0,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" strokecolor="white [3212]" strokeweight="2pt"/>
                <v:line id="Gerade Verbindung 5" o:spid="_x0000_s1028" style="position:absolute;visibility:visible;mso-wrap-style:square" from="52565,0" to="52565,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" strokecolor="white [3212]" strokeweight="2pt"/>
                <w10:wrap anchory="page"/>
                <w10:anchorlock/>
              </v:group>
            </w:pict>
          </mc:Fallback>
        </mc:AlternateContent>
      </w:r>
      <w:r>
        <w:rPr>
          <w:rFonts w:ascii="Scala Sans OT" w:hAnsi="Scala Sans OT"/>
          <w:noProof/>
        </w:rPr>
        <mc:AlternateContent>
          <mc:Choice Requires="wps">
            <w:drawing>
              <wp:anchor distT="0" distB="0" distL="114300" distR="114300" simplePos="0" relativeHeight="251662336" behindDoc="1" locked="1" layoutInCell="1" allowOverlap="1">
                <wp:simplePos x="0" y="0"/>
                <wp:positionH relativeFrom="page">
                  <wp:posOffset>0</wp:posOffset>
                </wp:positionH>
                <wp:positionV relativeFrom="page">
                  <wp:posOffset>2250440</wp:posOffset>
                </wp:positionV>
                <wp:extent cx="6659880" cy="7019925"/>
                <wp:effectExtent l="0" t="0" r="0" b="0"/>
                <wp:wrapNone/>
                <wp:docPr id="6" name="Rechteck 6"/>
                <wp:cNvGraphicFramePr/>
                <a:graphic xmlns:a="http://schemas.openxmlformats.org/drawingml/2006/main">
                  <a:graphicData uri="http://schemas.microsoft.com/office/word/2010/wordprocessingShape">
                    <wps:wsp>
                      <wps:cNvSpPr/>
                      <wps:spPr>
                        <a:xfrm>
                          <a:off x="0" y="0"/>
                          <a:ext cx="6659880" cy="7019925"/>
                        </a:xfrm>
                        <a:prstGeom prst="rect">
                          <a:avLst/>
                        </a:prstGeom>
                        <a:solidFill>
                          <a:srgbClr val="045AA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0;margin-top:177.2pt;width:524.4pt;height:552.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" fillcolor="#045aa6" stroked="f">
                <w10:wrap anchorx="page" anchory="page"/>
                <w10:anchorlock/>
              </v:rect>
            </w:pict>
          </mc:Fallback>
        </mc:AlternateContent>
      </w:r>
    </w:p>
    <w:p>
      <w:pPr>
        <w:rPr>
          <w:rFonts w:ascii="Scala Sans OT" w:hAnsi="Scala Sans OT"/>
        </w:rPr>
      </w:pPr>
      <w:r>
        <w:rPr>
          <w:rFonts w:ascii="Scala Sans OT" w:hAnsi="Scala Sans OT"/>
        </w:rPr>
        <w:br w:type="page"/>
      </w:r>
    </w:p>
    <w:sdt>
      <w:sdtPr>
        <w:rPr>
          <w:rFonts w:ascii="Scala Sans OT" w:hAnsi="Scala Sans OT"/>
        </w:rPr>
        <w:id w:val="136007148"/>
        <w:docPartObj>
          <w:docPartGallery w:val="Table of Contents"/>
          <w:docPartUnique/>
        </w:docPartObj>
      </w:sdtPr>
      <w:sdtEndPr>
        <w:rPr>
          <w:rFonts w:eastAsiaTheme="minorEastAsia" w:cstheme="minorBidi"/>
          <w:b/>
          <w:bCs/>
          <w:color w:val="auto"/>
          <w:sz w:val="20"/>
          <w:szCs w:val="20"/>
        </w:rPr>
      </w:sdtEndPr>
      <w:sdtContent>
        <w:p>
          <w:pPr>
            <w:pStyle w:val="Inhaltsverzeichnisberschrift"/>
            <w:rPr>
              <w:rFonts w:ascii="Scala Sans OT" w:hAnsi="Scala Sans OT"/>
            </w:rPr>
          </w:pPr>
          <w:r>
            <w:rPr>
              <w:rFonts w:ascii="Scala Sans OT" w:hAnsi="Scala Sans OT"/>
            </w:rPr>
            <w:t>Inhalt</w:t>
          </w:r>
        </w:p>
        <w:p>
          <w:pPr>
            <w:pStyle w:val="Verzeichnis1"/>
            <w:tabs>
              <w:tab w:val="right" w:leader="dot" w:pos="9204"/>
            </w:tabs>
            <w:rPr>
              <w:rFonts w:asciiTheme="minorHAnsi" w:hAnsiTheme="minorHAnsi"/>
              <w:noProof/>
              <w:sz w:val="22"/>
              <w:szCs w:val="22"/>
            </w:rPr>
          </w:pPr>
          <w:r>
            <w:rPr>
              <w:rFonts w:ascii="Scala Sans OT" w:hAnsi="Scala Sans OT"/>
            </w:rPr>
            <w:fldChar w:fldCharType="begin"/>
          </w:r>
          <w:r>
            <w:rPr>
              <w:rFonts w:ascii="Scala Sans OT" w:hAnsi="Scala Sans OT"/>
            </w:rPr>
            <w:instrText xml:space="preserve"> TOC \o "1-3" \h \z \u </w:instrText>
          </w:r>
          <w:r>
            <w:rPr>
              <w:rFonts w:ascii="Scala Sans OT" w:hAnsi="Scala Sans OT"/>
            </w:rPr>
            <w:fldChar w:fldCharType="separate"/>
          </w:r>
          <w:hyperlink w:anchor="_Toc60668062" w:history="1">
            <w:r>
              <w:rPr>
                <w:rStyle w:val="Hyperlink"/>
                <w:rFonts w:ascii="Scala Sans OT" w:hAnsi="Scala Sans OT"/>
                <w:noProof/>
              </w:rPr>
              <w:t>Zusammenfassung:</w:t>
            </w:r>
            <w:r>
              <w:rPr>
                <w:noProof/>
                <w:webHidden/>
              </w:rPr>
              <w:tab/>
            </w:r>
            <w:r>
              <w:rPr>
                <w:noProof/>
                <w:webHidden/>
              </w:rPr>
              <w:fldChar w:fldCharType="begin"/>
            </w:r>
            <w:r>
              <w:rPr>
                <w:noProof/>
                <w:webHidden/>
              </w:rPr>
              <w:instrText xml:space="preserve"> PAGEREF _Toc60668062 \h </w:instrText>
            </w:r>
            <w:r>
              <w:rPr>
                <w:noProof/>
                <w:webHidden/>
              </w:rPr>
            </w:r>
            <w:r>
              <w:rPr>
                <w:noProof/>
                <w:webHidden/>
              </w:rPr>
              <w:fldChar w:fldCharType="separate"/>
            </w:r>
            <w:r>
              <w:rPr>
                <w:noProof/>
                <w:webHidden/>
              </w:rPr>
              <w:t>3</w:t>
            </w:r>
            <w:r>
              <w:rPr>
                <w:noProof/>
                <w:webHidden/>
              </w:rPr>
              <w:fldChar w:fldCharType="end"/>
            </w:r>
          </w:hyperlink>
        </w:p>
        <w:p>
          <w:pPr>
            <w:pStyle w:val="Verzeichnis1"/>
            <w:tabs>
              <w:tab w:val="right" w:leader="dot" w:pos="9204"/>
            </w:tabs>
            <w:rPr>
              <w:rFonts w:asciiTheme="minorHAnsi" w:hAnsiTheme="minorHAnsi"/>
              <w:noProof/>
              <w:sz w:val="22"/>
              <w:szCs w:val="22"/>
            </w:rPr>
          </w:pPr>
          <w:hyperlink w:anchor="_Toc60668063" w:history="1">
            <w:r>
              <w:rPr>
                <w:rStyle w:val="Hyperlink"/>
                <w:rFonts w:ascii="Scala Sans OT" w:hAnsi="Scala Sans OT"/>
                <w:noProof/>
              </w:rPr>
              <w:t>Auswertungen im Einzelnen:</w:t>
            </w:r>
            <w:r>
              <w:rPr>
                <w:noProof/>
                <w:webHidden/>
              </w:rPr>
              <w:tab/>
            </w:r>
            <w:r>
              <w:rPr>
                <w:noProof/>
                <w:webHidden/>
              </w:rPr>
              <w:fldChar w:fldCharType="begin"/>
            </w:r>
            <w:r>
              <w:rPr>
                <w:noProof/>
                <w:webHidden/>
              </w:rPr>
              <w:instrText xml:space="preserve"> PAGEREF _Toc60668063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right" w:leader="dot" w:pos="9204"/>
            </w:tabs>
            <w:rPr>
              <w:rFonts w:asciiTheme="minorHAnsi" w:hAnsiTheme="minorHAnsi"/>
              <w:noProof/>
              <w:sz w:val="22"/>
              <w:szCs w:val="22"/>
            </w:rPr>
          </w:pPr>
          <w:hyperlink w:anchor="_Toc60668064" w:history="1">
            <w:r>
              <w:rPr>
                <w:rStyle w:val="Hyperlink"/>
                <w:rFonts w:ascii="Scala Sans OT" w:hAnsi="Scala Sans OT"/>
                <w:noProof/>
              </w:rPr>
              <w:t>Vorbemerkung</w:t>
            </w:r>
            <w:r>
              <w:rPr>
                <w:noProof/>
                <w:webHidden/>
              </w:rPr>
              <w:tab/>
            </w:r>
            <w:r>
              <w:rPr>
                <w:noProof/>
                <w:webHidden/>
              </w:rPr>
              <w:fldChar w:fldCharType="begin"/>
            </w:r>
            <w:r>
              <w:rPr>
                <w:noProof/>
                <w:webHidden/>
              </w:rPr>
              <w:instrText xml:space="preserve"> PAGEREF _Toc60668064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5" w:history="1">
            <w:r>
              <w:rPr>
                <w:rStyle w:val="Hyperlink"/>
                <w:rFonts w:ascii="Scala Sans OT" w:hAnsi="Scala Sans OT"/>
                <w:noProof/>
              </w:rPr>
              <w:t>1)</w:t>
            </w:r>
            <w:r>
              <w:rPr>
                <w:rFonts w:asciiTheme="minorHAnsi" w:hAnsiTheme="minorHAnsi"/>
                <w:noProof/>
                <w:sz w:val="22"/>
                <w:szCs w:val="22"/>
              </w:rPr>
              <w:tab/>
            </w:r>
            <w:r>
              <w:rPr>
                <w:rStyle w:val="Hyperlink"/>
                <w:rFonts w:ascii="Scala Sans OT" w:hAnsi="Scala Sans OT"/>
                <w:noProof/>
              </w:rPr>
              <w:t>Meldedaten (unter Berücksichtigung des Diagnostik- und Meldeverzugs)</w:t>
            </w:r>
            <w:r>
              <w:rPr>
                <w:noProof/>
                <w:webHidden/>
              </w:rPr>
              <w:tab/>
            </w:r>
            <w:r>
              <w:rPr>
                <w:noProof/>
                <w:webHidden/>
              </w:rPr>
              <w:fldChar w:fldCharType="begin"/>
            </w:r>
            <w:r>
              <w:rPr>
                <w:noProof/>
                <w:webHidden/>
              </w:rPr>
              <w:instrText xml:space="preserve"> PAGEREF _Toc60668065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6" w:history="1">
            <w:r>
              <w:rPr>
                <w:rStyle w:val="Hyperlink"/>
                <w:rFonts w:ascii="Scala Sans OT" w:hAnsi="Scala Sans OT"/>
                <w:noProof/>
              </w:rPr>
              <w:t>2)</w:t>
            </w:r>
            <w:r>
              <w:rPr>
                <w:rFonts w:asciiTheme="minorHAnsi" w:hAnsiTheme="minorHAnsi"/>
                <w:noProof/>
                <w:sz w:val="22"/>
                <w:szCs w:val="22"/>
              </w:rPr>
              <w:tab/>
            </w:r>
            <w:r>
              <w:rPr>
                <w:rStyle w:val="Hyperlink"/>
                <w:rFonts w:ascii="Scala Sans OT" w:hAnsi="Scala Sans OT"/>
                <w:noProof/>
              </w:rPr>
              <w:t>Zahl der durchgeführten labordiagnostischen Untersuchungen und der Positivenanteil</w:t>
            </w:r>
            <w:r>
              <w:rPr>
                <w:noProof/>
                <w:webHidden/>
              </w:rPr>
              <w:tab/>
            </w:r>
            <w:r>
              <w:rPr>
                <w:noProof/>
                <w:webHidden/>
              </w:rPr>
              <w:fldChar w:fldCharType="begin"/>
            </w:r>
            <w:r>
              <w:rPr>
                <w:noProof/>
                <w:webHidden/>
              </w:rPr>
              <w:instrText xml:space="preserve"> PAGEREF _Toc60668066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7" w:history="1">
            <w:r>
              <w:rPr>
                <w:rStyle w:val="Hyperlink"/>
                <w:rFonts w:ascii="Scala Sans OT" w:hAnsi="Scala Sans OT"/>
                <w:noProof/>
              </w:rPr>
              <w:t>3)</w:t>
            </w:r>
            <w:r>
              <w:rPr>
                <w:rFonts w:asciiTheme="minorHAnsi" w:hAnsiTheme="minorHAnsi"/>
                <w:noProof/>
                <w:sz w:val="22"/>
                <w:szCs w:val="22"/>
              </w:rPr>
              <w:tab/>
            </w:r>
            <w:r>
              <w:rPr>
                <w:rStyle w:val="Hyperlink"/>
                <w:rFonts w:ascii="Scala Sans OT" w:hAnsi="Scala Sans OT"/>
                <w:noProof/>
              </w:rPr>
              <w:t>Syndromische Krankheitsüberwachung</w:t>
            </w:r>
            <w:r>
              <w:rPr>
                <w:noProof/>
                <w:webHidden/>
              </w:rPr>
              <w:tab/>
            </w:r>
            <w:r>
              <w:rPr>
                <w:noProof/>
                <w:webHidden/>
              </w:rPr>
              <w:fldChar w:fldCharType="begin"/>
            </w:r>
            <w:r>
              <w:rPr>
                <w:noProof/>
                <w:webHidden/>
              </w:rPr>
              <w:instrText xml:space="preserve"> PAGEREF _Toc60668067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8" w:history="1">
            <w:r>
              <w:rPr>
                <w:rStyle w:val="Hyperlink"/>
                <w:noProof/>
              </w:rPr>
              <w:t>4)</w:t>
            </w:r>
            <w:r>
              <w:rPr>
                <w:rFonts w:asciiTheme="minorHAnsi" w:hAnsiTheme="minorHAnsi"/>
                <w:noProof/>
                <w:sz w:val="22"/>
                <w:szCs w:val="22"/>
              </w:rPr>
              <w:tab/>
            </w:r>
            <w:r>
              <w:rPr>
                <w:rStyle w:val="Hyperlink"/>
                <w:noProof/>
              </w:rPr>
              <w:t>ICD-10 Code basierte syndromische Surveillance schwerer akute Atemwegserkrankungen (ICOSARI)</w:t>
            </w:r>
            <w:r>
              <w:rPr>
                <w:noProof/>
                <w:webHidden/>
              </w:rPr>
              <w:tab/>
            </w:r>
            <w:r>
              <w:rPr>
                <w:noProof/>
                <w:webHidden/>
              </w:rPr>
              <w:fldChar w:fldCharType="begin"/>
            </w:r>
            <w:r>
              <w:rPr>
                <w:noProof/>
                <w:webHidden/>
              </w:rPr>
              <w:instrText xml:space="preserve"> PAGEREF _Toc60668068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9" w:history="1">
            <w:r>
              <w:rPr>
                <w:rStyle w:val="Hyperlink"/>
                <w:noProof/>
              </w:rPr>
              <w:t>5)</w:t>
            </w:r>
            <w:r>
              <w:rPr>
                <w:rFonts w:asciiTheme="minorHAnsi" w:hAnsiTheme="minorHAnsi"/>
                <w:noProof/>
                <w:sz w:val="22"/>
                <w:szCs w:val="22"/>
              </w:rPr>
              <w:tab/>
            </w:r>
            <w:r>
              <w:rPr>
                <w:rStyle w:val="Hyperlink"/>
                <w:noProof/>
              </w:rPr>
              <w:t>DIVI-Intensivregister</w:t>
            </w:r>
            <w:r>
              <w:rPr>
                <w:noProof/>
                <w:webHidden/>
              </w:rPr>
              <w:tab/>
            </w:r>
            <w:r>
              <w:rPr>
                <w:noProof/>
                <w:webHidden/>
              </w:rPr>
              <w:fldChar w:fldCharType="begin"/>
            </w:r>
            <w:r>
              <w:rPr>
                <w:noProof/>
                <w:webHidden/>
              </w:rPr>
              <w:instrText xml:space="preserve"> PAGEREF _Toc60668069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70" w:history="1">
            <w:r>
              <w:rPr>
                <w:rStyle w:val="Hyperlink"/>
                <w:rFonts w:ascii="Scala Sans OT" w:hAnsi="Scala Sans OT"/>
                <w:noProof/>
              </w:rPr>
              <w:t>6)</w:t>
            </w:r>
            <w:r>
              <w:rPr>
                <w:rFonts w:asciiTheme="minorHAnsi" w:hAnsiTheme="minorHAnsi"/>
                <w:noProof/>
                <w:sz w:val="22"/>
                <w:szCs w:val="22"/>
              </w:rPr>
              <w:tab/>
            </w:r>
            <w:r>
              <w:rPr>
                <w:rStyle w:val="Hyperlink"/>
                <w:rFonts w:ascii="Scala Sans OT" w:hAnsi="Scala Sans OT"/>
                <w:noProof/>
              </w:rPr>
              <w:t>Molekulare Analyse von SARS-CoV-2</w:t>
            </w:r>
            <w:r>
              <w:rPr>
                <w:noProof/>
                <w:webHidden/>
              </w:rPr>
              <w:tab/>
            </w:r>
            <w:r>
              <w:rPr>
                <w:noProof/>
                <w:webHidden/>
              </w:rPr>
              <w:fldChar w:fldCharType="begin"/>
            </w:r>
            <w:r>
              <w:rPr>
                <w:noProof/>
                <w:webHidden/>
              </w:rPr>
              <w:instrText xml:space="preserve"> PAGEREF _Toc60668070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71" w:history="1">
            <w:r>
              <w:rPr>
                <w:rStyle w:val="Hyperlink"/>
                <w:rFonts w:ascii="Scala Sans OT" w:hAnsi="Scala Sans OT"/>
                <w:noProof/>
              </w:rPr>
              <w:t>7)</w:t>
            </w:r>
            <w:r>
              <w:rPr>
                <w:rFonts w:asciiTheme="minorHAnsi" w:hAnsiTheme="minorHAnsi"/>
                <w:noProof/>
                <w:sz w:val="22"/>
                <w:szCs w:val="22"/>
              </w:rPr>
              <w:tab/>
            </w:r>
            <w:r>
              <w:rPr>
                <w:rStyle w:val="Hyperlink"/>
                <w:rFonts w:ascii="Scala Sans OT" w:hAnsi="Scala Sans OT"/>
                <w:noProof/>
              </w:rPr>
              <w:t>Mobilitätsdaten</w:t>
            </w:r>
            <w:r>
              <w:rPr>
                <w:noProof/>
                <w:webHidden/>
              </w:rPr>
              <w:tab/>
            </w:r>
            <w:r>
              <w:rPr>
                <w:noProof/>
                <w:webHidden/>
              </w:rPr>
              <w:fldChar w:fldCharType="begin"/>
            </w:r>
            <w:r>
              <w:rPr>
                <w:noProof/>
                <w:webHidden/>
              </w:rPr>
              <w:instrText xml:space="preserve"> PAGEREF _Toc60668071 \h </w:instrText>
            </w:r>
            <w:r>
              <w:rPr>
                <w:noProof/>
                <w:webHidden/>
              </w:rPr>
            </w:r>
            <w:r>
              <w:rPr>
                <w:noProof/>
                <w:webHidden/>
              </w:rPr>
              <w:fldChar w:fldCharType="separate"/>
            </w:r>
            <w:r>
              <w:rPr>
                <w:noProof/>
                <w:webHidden/>
              </w:rPr>
              <w:t>12</w:t>
            </w:r>
            <w:r>
              <w:rPr>
                <w:noProof/>
                <w:webHidden/>
              </w:rPr>
              <w:fldChar w:fldCharType="end"/>
            </w:r>
          </w:hyperlink>
        </w:p>
        <w:p>
          <w:pPr>
            <w:rPr>
              <w:rFonts w:ascii="Scala Sans OT" w:hAnsi="Scala Sans OT"/>
            </w:rPr>
          </w:pPr>
          <w:r>
            <w:rPr>
              <w:rFonts w:ascii="Scala Sans OT" w:hAnsi="Scala Sans OT"/>
              <w:b/>
              <w:bCs/>
            </w:rPr>
            <w:fldChar w:fldCharType="end"/>
          </w:r>
        </w:p>
      </w:sdtContent>
    </w:sdt>
    <w:p>
      <w:pPr>
        <w:spacing w:line="240" w:lineRule="auto"/>
        <w:ind w:left="0"/>
        <w:rPr>
          <w:rFonts w:ascii="Scala Sans OT" w:eastAsiaTheme="minorHAnsi" w:hAnsi="Scala Sans OT"/>
          <w:sz w:val="22"/>
          <w:szCs w:val="21"/>
          <w:lang w:eastAsia="en-US"/>
        </w:rPr>
      </w:pPr>
      <w:r>
        <w:rPr>
          <w:rFonts w:ascii="Scala Sans OT" w:hAnsi="Scala Sans OT"/>
        </w:rPr>
        <w:br w:type="page"/>
      </w:r>
    </w:p>
    <w:p>
      <w:pPr>
        <w:pStyle w:val="berschrift1"/>
        <w:rPr>
          <w:rFonts w:ascii="Scala Sans OT" w:hAnsi="Scala Sans OT"/>
        </w:rPr>
      </w:pPr>
      <w:bookmarkStart w:id="0" w:name="_Toc60668062"/>
      <w:r>
        <w:rPr>
          <w:rFonts w:ascii="Scala Sans OT" w:hAnsi="Scala Sans OT"/>
        </w:rPr>
        <w:lastRenderedPageBreak/>
        <w:t>Zusammenfassung:</w:t>
      </w:r>
      <w:bookmarkEnd w:id="0"/>
    </w:p>
    <w:p>
      <w:pPr>
        <w:pStyle w:val="NurText"/>
        <w:rPr>
          <w:rFonts w:ascii="Scala Sans OT" w:hAnsi="Scala Sans OT"/>
          <w:lang w:val="de-DE"/>
        </w:rPr>
      </w:pPr>
    </w:p>
    <w:p>
      <w:pPr>
        <w:pStyle w:val="NurText"/>
        <w:rPr>
          <w:lang w:val="de-DE"/>
        </w:rPr>
      </w:pPr>
      <w:r>
        <w:rPr>
          <w:lang w:val="de-DE"/>
        </w:rPr>
        <w:t xml:space="preserve">Das Robert Koch-Institut bezieht bei seiner Bewertung der Situation verschiedene </w:t>
      </w:r>
      <w:proofErr w:type="spellStart"/>
      <w:r>
        <w:rPr>
          <w:lang w:val="de-DE"/>
        </w:rPr>
        <w:t>Surveillanceinstrumente</w:t>
      </w:r>
      <w:proofErr w:type="spellEnd"/>
      <w:r>
        <w:rPr>
          <w:lang w:val="de-DE"/>
        </w:rPr>
        <w:t xml:space="preserve"> und Informationsquellen ein. Die </w:t>
      </w:r>
      <w:r>
        <w:rPr>
          <w:b/>
          <w:lang w:val="de-DE"/>
        </w:rPr>
        <w:t>Meldedaten</w:t>
      </w:r>
      <w:r>
        <w:rPr>
          <w:lang w:val="de-DE"/>
        </w:rPr>
        <w:t xml:space="preserve"> nach dem IfSG (unter Berücksichtigung des Diagnostik- und Meldeverzugs) und die darauf basierenden Auswertungen sind nur eines von mehreren Erhebungsinstrumenten zur Beurteilung der Lage. Davon unabhängig werden die durchgeführten </w:t>
      </w:r>
      <w:r>
        <w:rPr>
          <w:b/>
          <w:lang w:val="de-DE"/>
        </w:rPr>
        <w:t>labordiagnostischen Untersuchungen</w:t>
      </w:r>
      <w:r>
        <w:rPr>
          <w:lang w:val="de-DE"/>
        </w:rPr>
        <w:t xml:space="preserve"> und der Anteil der positiven Nachweise bei der Bewertung berücksichtigt. Wichtige Informationen liefern auch die Instrumente der </w:t>
      </w:r>
      <w:proofErr w:type="spellStart"/>
      <w:r>
        <w:rPr>
          <w:b/>
          <w:lang w:val="de-DE"/>
        </w:rPr>
        <w:t>syndromischen</w:t>
      </w:r>
      <w:proofErr w:type="spellEnd"/>
      <w:r>
        <w:rPr>
          <w:b/>
          <w:lang w:val="de-DE"/>
        </w:rPr>
        <w:t xml:space="preserve"> Krankheitsüberwachung</w:t>
      </w:r>
      <w:r>
        <w:rPr>
          <w:lang w:val="de-DE"/>
        </w:rPr>
        <w:t xml:space="preserve">, die bundesweit die Situation in der Bevölkerung und den primärversorgenden Arztpraxen erfassen gemeinsam mit der </w:t>
      </w:r>
      <w:r>
        <w:rPr>
          <w:b/>
          <w:lang w:val="de-DE"/>
        </w:rPr>
        <w:t>virologischen Surveillance</w:t>
      </w:r>
      <w:r>
        <w:rPr>
          <w:lang w:val="de-DE"/>
        </w:rPr>
        <w:t xml:space="preserve">. Aufgrund der Erkrankungsschwere von COVID-19 bei älteren Menschen und bei Vorliegen von Grundkrankheiten stehen die Informationen zu den Hospitalisierungen aus dem </w:t>
      </w:r>
      <w:r>
        <w:rPr>
          <w:b/>
          <w:lang w:val="de-DE"/>
        </w:rPr>
        <w:t>Krankenhausnetzwerk für schwere akute Atemwegserkrankungen</w:t>
      </w:r>
      <w:r>
        <w:rPr>
          <w:lang w:val="de-DE"/>
        </w:rPr>
        <w:t xml:space="preserve"> (ICOSARI) und die </w:t>
      </w:r>
      <w:r>
        <w:rPr>
          <w:b/>
          <w:lang w:val="de-DE"/>
        </w:rPr>
        <w:t>Belegung der Intensivstationen</w:t>
      </w:r>
      <w:r>
        <w:rPr>
          <w:lang w:val="de-DE"/>
        </w:rPr>
        <w:t xml:space="preserve"> im Zentrum der Bewertung der Situation im Mittelpunkt. Nicht zuletzt müssen auch die </w:t>
      </w:r>
      <w:r>
        <w:rPr>
          <w:b/>
          <w:lang w:val="de-DE"/>
        </w:rPr>
        <w:t>Todesfälle bei Patienten mit COVID-19 Erkrankung</w:t>
      </w:r>
      <w:r>
        <w:rPr>
          <w:lang w:val="de-DE"/>
        </w:rPr>
        <w:t xml:space="preserve"> in Betracht gezogen werden. Unterstützt wird die Einschätzung der Situation durch die </w:t>
      </w:r>
      <w:r>
        <w:rPr>
          <w:b/>
          <w:lang w:val="de-DE"/>
        </w:rPr>
        <w:t>molekulare Analyse der Viren</w:t>
      </w:r>
      <w:r>
        <w:rPr>
          <w:lang w:val="de-DE"/>
        </w:rPr>
        <w:t xml:space="preserve"> und die Informationen zu </w:t>
      </w:r>
      <w:r>
        <w:rPr>
          <w:b/>
          <w:lang w:val="de-DE"/>
        </w:rPr>
        <w:t>Änderungen in der Mobilität</w:t>
      </w:r>
      <w:r>
        <w:rPr>
          <w:lang w:val="de-DE"/>
        </w:rPr>
        <w:t xml:space="preserve"> und zum Kontaktverhalten in der Bevölkerung.</w:t>
      </w:r>
    </w:p>
    <w:p>
      <w:pPr>
        <w:pStyle w:val="NurText"/>
        <w:rPr>
          <w:rFonts w:ascii="Scala Sans OT" w:hAnsi="Scala Sans OT"/>
          <w:strike/>
          <w:lang w:val="de-DE"/>
        </w:rPr>
      </w:pP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t>Die wesentlichen Informationen aus den einzelnen Systemen, auf denen diese Bewertung beruht sowie notwendige Informationen zur Methodik und den jeweiligen Limitationen sind nachfolgend im Einzelnen dargestellt.</w:t>
      </w:r>
    </w:p>
    <w:p>
      <w:pPr>
        <w:spacing w:line="240" w:lineRule="auto"/>
        <w:ind w:left="0"/>
        <w:rPr>
          <w:rFonts w:ascii="Scala Sans OT" w:eastAsiaTheme="minorHAnsi" w:hAnsi="Scala Sans OT"/>
          <w:sz w:val="22"/>
          <w:szCs w:val="21"/>
          <w:lang w:eastAsia="en-US"/>
        </w:rPr>
      </w:pPr>
      <w:r>
        <w:rPr>
          <w:rFonts w:ascii="Scala Sans OT" w:hAnsi="Scala Sans OT"/>
        </w:rPr>
        <w:br w:type="page"/>
      </w:r>
    </w:p>
    <w:p>
      <w:pPr>
        <w:pStyle w:val="berschrift1"/>
        <w:rPr>
          <w:rFonts w:ascii="Scala Sans OT" w:hAnsi="Scala Sans OT"/>
        </w:rPr>
      </w:pPr>
      <w:bookmarkStart w:id="1" w:name="_Toc60668063"/>
      <w:r>
        <w:rPr>
          <w:rFonts w:ascii="Scala Sans OT" w:hAnsi="Scala Sans OT"/>
        </w:rPr>
        <w:lastRenderedPageBreak/>
        <w:t>Auswertungen im Einzelnen:</w:t>
      </w:r>
      <w:bookmarkEnd w:id="1"/>
    </w:p>
    <w:p>
      <w:pPr>
        <w:pStyle w:val="NurText"/>
        <w:rPr>
          <w:rFonts w:ascii="Scala Sans OT" w:hAnsi="Scala Sans OT"/>
          <w:color w:val="365F91" w:themeColor="accent1" w:themeShade="BF"/>
          <w:lang w:val="de-DE"/>
        </w:rPr>
      </w:pPr>
    </w:p>
    <w:p>
      <w:pPr>
        <w:pStyle w:val="berschrift2"/>
        <w:ind w:firstLine="170"/>
        <w:rPr>
          <w:rFonts w:ascii="Scala Sans OT" w:hAnsi="Scala Sans OT"/>
        </w:rPr>
      </w:pPr>
      <w:bookmarkStart w:id="2" w:name="_Toc60668064"/>
      <w:r>
        <w:rPr>
          <w:rFonts w:ascii="Scala Sans OT" w:hAnsi="Scala Sans OT"/>
        </w:rPr>
        <w:t>Vorbemerkung</w:t>
      </w:r>
      <w:bookmarkEnd w:id="2"/>
    </w:p>
    <w:p/>
    <w:p>
      <w:pPr>
        <w:pStyle w:val="NurText"/>
        <w:rPr>
          <w:rFonts w:ascii="Scala Sans OT" w:hAnsi="Scala Sans OT"/>
          <w:szCs w:val="22"/>
          <w:lang w:val="de-DE"/>
        </w:rPr>
      </w:pPr>
      <w:r>
        <w:rPr>
          <w:rFonts w:ascii="Scala Sans OT" w:hAnsi="Scala Sans OT"/>
          <w:szCs w:val="22"/>
          <w:lang w:val="de-DE"/>
        </w:rPr>
        <w:t>Während der Weihnachtsfeiertage, zum Jahreswechsel und an den umgebenden Tagen ist bei der Interpretation der Fallzahlen zu beachten, dass zum einen meist weniger Personen einen Arzt aufsuchen, dadurch werden weniger Proben genommen und weniger Laboruntersuchungen durchgeführt. Dies führt dazu, dass weniger Erregernachweise an die zuständigen Gesundheitsämter gemeldet werden. Zum anderen kann es sein, dass nicht alle Gesundheitsämter und zuständigen Landesbehörden an allen Tagen an das RKI übermitteln.</w:t>
      </w:r>
    </w:p>
    <w:p>
      <w:pPr>
        <w:pStyle w:val="NurText"/>
        <w:rPr>
          <w:rFonts w:ascii="Scala Sans OT" w:hAnsi="Scala Sans OT"/>
          <w:lang w:val="de-DE"/>
        </w:rPr>
      </w:pPr>
      <w:r>
        <w:rPr>
          <w:rFonts w:ascii="Scala Sans OT" w:hAnsi="Scala Sans OT"/>
          <w:lang w:val="de-DE"/>
        </w:rPr>
        <w:t>Auch ist zu beachten, dass während der Weihnachtsfeiertage und um Silvester durch Reisen und Familienbesuche es schon immer Veränderungen in der Kontakthäufigkeit, -intensität wie auch der konkreten Kontaktpersonen gab. Auch in diesem Jahr könnte es dadurch zu zusätzlichen SARS</w:t>
      </w:r>
      <w:r>
        <w:rPr>
          <w:rFonts w:ascii="Scala Sans OT" w:hAnsi="Scala Sans OT"/>
          <w:lang w:val="de-DE"/>
        </w:rPr>
        <w:noBreakHyphen/>
        <w:t>CoV</w:t>
      </w:r>
      <w:r>
        <w:rPr>
          <w:rFonts w:ascii="Scala Sans OT" w:hAnsi="Scala Sans OT"/>
          <w:lang w:val="de-DE"/>
        </w:rPr>
        <w:noBreakHyphen/>
        <w:t xml:space="preserve">2 Übertragungen gekommen sein. Aufgrund der Inkubationszeit (bzw. additiv die Zeit bis zu einer Krankenhauseinweisung) würden sich diese frühestens in den ersten beiden darauffolgenden Wochen manifestieren und könnten erst dann durch die Surveillance-Instrumente des RKI erfasst werden. </w:t>
      </w:r>
    </w:p>
    <w:p>
      <w:pPr>
        <w:pStyle w:val="NurText"/>
        <w:rPr>
          <w:rFonts w:ascii="Scala Sans OT" w:hAnsi="Scala Sans OT"/>
          <w:lang w:val="de-DE"/>
        </w:rPr>
      </w:pPr>
    </w:p>
    <w:p>
      <w:pPr>
        <w:pStyle w:val="berschrift2"/>
        <w:numPr>
          <w:ilvl w:val="0"/>
          <w:numId w:val="5"/>
        </w:numPr>
        <w:rPr>
          <w:rFonts w:ascii="Scala Sans OT" w:hAnsi="Scala Sans OT"/>
        </w:rPr>
      </w:pPr>
      <w:bookmarkStart w:id="3" w:name="_Toc60668065"/>
      <w:r>
        <w:rPr>
          <w:rFonts w:ascii="Scala Sans OT" w:hAnsi="Scala Sans OT"/>
        </w:rPr>
        <w:t>Meldedaten (unter Berücksichtigung des Diagnostik- und Meldeverzugs)</w:t>
      </w:r>
      <w:bookmarkEnd w:id="3"/>
    </w:p>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Dargestellt werden die bundesweit einheitlich erfassten und an das RKI übermittelten Daten zu laborbestätigten COVID-19-Fällen (COVID-19-Erkrankungen und akute SARS-CoV-2-Infektionen). COVID-19-Verdachtsfälle und -Erkrankungen sowie Nachweise von SARS-CoV-2 werden gemäß Infektionsschutzgesetz an das zuständige Gesundheitsamt gemeldet. Informationen zu Fällen können im Verlauf der Erkrankung nachermittelt und im Meldewesen nachgetragen werden. Nicht für alle Variablen gelingt eine vollständige Erfassung. </w:t>
      </w:r>
    </w:p>
    <w:p>
      <w:pPr>
        <w:pStyle w:val="NurText"/>
        <w:rPr>
          <w:rFonts w:ascii="Scala Sans OT" w:hAnsi="Scala Sans OT"/>
          <w:lang w:val="de-DE"/>
        </w:rPr>
      </w:pPr>
      <w:r>
        <w:rPr>
          <w:rFonts w:ascii="Scala Sans OT" w:hAnsi="Scala Sans OT"/>
          <w:lang w:val="de-DE"/>
        </w:rPr>
        <w:t xml:space="preserve">Die Gesundheitsämter ermitteln ggf. zusätzliche Informationen, bewerten den Fall und leiten die notwendigen Infektionsschutzmaßnahmen ein. Die Daten werden spätestens am nächsten Arbeitstag vom Gesundheitsamt elektronisch an die zuständige Landesbehörde und von dort an das RKI übermittelt. Es werden nur Fälle vom RKI veröffentlicht, bei denen eine labordiagnostische Bestätigung mittels </w:t>
      </w:r>
      <w:proofErr w:type="spellStart"/>
      <w:r>
        <w:rPr>
          <w:rFonts w:ascii="Scala Sans OT" w:hAnsi="Scala Sans OT"/>
          <w:lang w:val="de-DE"/>
        </w:rPr>
        <w:t>Nukleinsäurenachweis</w:t>
      </w:r>
      <w:proofErr w:type="spellEnd"/>
      <w:r>
        <w:rPr>
          <w:rFonts w:ascii="Scala Sans OT" w:hAnsi="Scala Sans OT"/>
          <w:lang w:val="de-DE"/>
        </w:rPr>
        <w:t xml:space="preserve"> (z.B. PCR) oder Erregerisolierung unabhängig vom klinischen Bild vorliegt. Die Daten werden am RKI einmal täglich jeweils um 0:00 Uhr aktualisiert.</w:t>
      </w:r>
    </w:p>
    <w:p>
      <w:pPr>
        <w:pStyle w:val="NurText"/>
        <w:rPr>
          <w:rFonts w:ascii="Scala Sans OT" w:hAnsi="Scala Sans OT"/>
          <w:lang w:val="de-DE"/>
        </w:rPr>
      </w:pPr>
      <w:r>
        <w:rPr>
          <w:rFonts w:ascii="Scala Sans OT" w:hAnsi="Scala Sans OT"/>
          <w:lang w:val="de-DE"/>
        </w:rPr>
        <w:t xml:space="preserve">Für die Bewertung werden die Anzahl der Meldungen über DEMIS, Anzahl der Fälle nach Meldedatum, nach Erkrankungsbeginn, Datum des Eingangs am RKI, Korrektur für Diagnose-, Melde- und Übermittlungsverzug durch </w:t>
      </w:r>
      <w:proofErr w:type="spellStart"/>
      <w:r>
        <w:rPr>
          <w:rFonts w:ascii="Scala Sans OT" w:hAnsi="Scala Sans OT"/>
          <w:lang w:val="de-DE"/>
        </w:rPr>
        <w:t>Nowcasting</w:t>
      </w:r>
      <w:proofErr w:type="spellEnd"/>
      <w:r>
        <w:rPr>
          <w:rFonts w:ascii="Scala Sans OT" w:hAnsi="Scala Sans OT"/>
          <w:lang w:val="de-DE"/>
        </w:rPr>
        <w:t xml:space="preserve"> herangezogen.</w:t>
      </w:r>
    </w:p>
    <w:p>
      <w:pPr>
        <w:pStyle w:val="NurText"/>
        <w:rPr>
          <w:rFonts w:ascii="Scala Sans OT" w:hAnsi="Scala Sans OT"/>
          <w:b/>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Anhand der Meldedaten kann nicht nachvollzogen werden, wie viele Untersuchungen durchgeführt werden und geben auch keinen Aufschluss über das Verhalten der Bevölkerung und die Compliance mit den Maßnahmen. Aufgrund geringerer Testzahlen in KW 52 ist der Rückgang der Fallzahlen und des R-Werts in den Weihnachtstagen bis zum Jahreswechsel vermutlich unterschätzt.</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Die höchste Anzahl COVID-19-Fälle wurde bisher in KW 51 registriert und ist in KW52 und KW53 zurückgegangen. Anhand der Meldedaten allein kann jedoch nicht beurteilt werden, ob dies ein tatsächlicher Rückgang ist, oder ob dieser Rückgang darauf zurückgeführt werden kann, dass über den Jahreswechsel weniger Untersuchungen auf SARS-CoV-2 veranlasst und somit Tests in den Laboren durchgeführt worden. Anhand des epidemiologischen Profils (Altersverteilung, regionale Verteilung) ergeben sich keine besonderen Auffälligkeiten in den Meldedaten. Anhand der über DEMIS elektronisch abgesetzten Meldungen und der Analyse des Meldeverzugs lässt sich aber zumindest bewerten, dass der insgesamte Rückgang der Fallzahlen nicht auf einen Verzug innerhalb des Meldesystems zurückzuführen ist. </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lastRenderedPageBreak/>
        <w:t>Auch wenn an einzelnen Tagen durch die Gesundheitsämter weniger Daten übermittelt worden sind, sind die Nachübermittlungen zügig erfolgt und haben keinen Einfluss auf die Darstellung der Daten nach Meldewoche.</w:t>
      </w:r>
    </w:p>
    <w:p>
      <w:pPr>
        <w:pStyle w:val="NurText"/>
        <w:keepNext/>
        <w:rPr>
          <w:rFonts w:ascii="Scala Sans OT" w:hAnsi="Scala Sans OT"/>
        </w:rPr>
      </w:pPr>
      <w:r>
        <w:rPr>
          <w:rFonts w:ascii="Scala Sans OT" w:hAnsi="Scala Sans OT"/>
          <w:noProof/>
          <w:lang w:val="de-DE"/>
        </w:rPr>
        <w:drawing>
          <wp:inline distT="0" distB="0" distL="0" distR="0">
            <wp:extent cx="5314950" cy="26098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0" cy="2609850"/>
                    </a:xfrm>
                    <a:prstGeom prst="rect">
                      <a:avLst/>
                    </a:prstGeom>
                    <a:noFill/>
                    <a:ln>
                      <a:noFill/>
                    </a:ln>
                  </pic:spPr>
                </pic:pic>
              </a:graphicData>
            </a:graphic>
          </wp:inline>
        </w:drawing>
      </w:r>
    </w:p>
    <w:p>
      <w:pPr>
        <w:pStyle w:val="Beschriftung"/>
        <w:rPr>
          <w:rFonts w:ascii="Scala Sans OT" w:hAnsi="Scala Sans OT"/>
          <w:lang w:val="de-DE"/>
        </w:rPr>
      </w:pPr>
      <w:r>
        <w:rPr>
          <w:rFonts w:ascii="Scala Sans OT" w:hAnsi="Scala Sans OT"/>
          <w:lang w:val="de-DE"/>
        </w:rPr>
        <w:t xml:space="preserve">Abbildung </w:t>
      </w:r>
      <w:r>
        <w:rPr>
          <w:rFonts w:ascii="Scala Sans OT" w:hAnsi="Scala Sans OT"/>
        </w:rPr>
        <w:fldChar w:fldCharType="begin"/>
      </w:r>
      <w:r>
        <w:rPr>
          <w:rFonts w:ascii="Scala Sans OT" w:hAnsi="Scala Sans OT"/>
          <w:lang w:val="de-DE"/>
        </w:rPr>
        <w:instrText xml:space="preserve"> SEQ Abbildung \* ARABIC </w:instrText>
      </w:r>
      <w:r>
        <w:rPr>
          <w:rFonts w:ascii="Scala Sans OT" w:hAnsi="Scala Sans OT"/>
        </w:rPr>
        <w:fldChar w:fldCharType="separate"/>
      </w:r>
      <w:r>
        <w:rPr>
          <w:rFonts w:ascii="Scala Sans OT" w:hAnsi="Scala Sans OT"/>
          <w:noProof/>
          <w:lang w:val="de-DE"/>
        </w:rPr>
        <w:t>1</w:t>
      </w:r>
      <w:r>
        <w:rPr>
          <w:rFonts w:ascii="Scala Sans OT" w:hAnsi="Scala Sans OT"/>
        </w:rPr>
        <w:fldChar w:fldCharType="end"/>
      </w:r>
      <w:r>
        <w:rPr>
          <w:rFonts w:ascii="Scala Sans OT" w:hAnsi="Scala Sans OT"/>
          <w:lang w:val="de-DE"/>
        </w:rPr>
        <w:t>: Anzahl der an das RKI übermittelten COVID-19-Fälle nach Meldewoche (40.-53. MW)</w:t>
      </w:r>
    </w:p>
    <w:p>
      <w:pPr>
        <w:rPr>
          <w:rFonts w:ascii="Scala Sans OT" w:hAnsi="Scala Sans OT"/>
        </w:rPr>
      </w:pPr>
    </w:p>
    <w:p>
      <w:pPr>
        <w:pStyle w:val="NurText"/>
        <w:keepNext/>
        <w:rPr>
          <w:rFonts w:ascii="Scala Sans OT" w:hAnsi="Scala Sans OT"/>
        </w:rPr>
      </w:pPr>
      <w:r>
        <w:rPr>
          <w:rFonts w:ascii="Scala Sans OT" w:hAnsi="Scala Sans OT"/>
          <w:noProof/>
          <w:lang w:val="de-DE"/>
        </w:rPr>
        <w:drawing>
          <wp:inline distT="0" distB="0" distL="0" distR="0">
            <wp:extent cx="5324475" cy="3257550"/>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475" cy="3257550"/>
                    </a:xfrm>
                    <a:prstGeom prst="rect">
                      <a:avLst/>
                    </a:prstGeom>
                    <a:noFill/>
                    <a:ln>
                      <a:noFill/>
                    </a:ln>
                  </pic:spPr>
                </pic:pic>
              </a:graphicData>
            </a:graphic>
          </wp:inline>
        </w:drawing>
      </w:r>
    </w:p>
    <w:p>
      <w:pPr>
        <w:pStyle w:val="Beschriftung"/>
        <w:rPr>
          <w:rFonts w:ascii="Scala Sans OT" w:hAnsi="Scala Sans OT"/>
          <w:lang w:val="de-DE"/>
        </w:rPr>
      </w:pPr>
      <w:r>
        <w:rPr>
          <w:rFonts w:ascii="Scala Sans OT" w:hAnsi="Scala Sans OT"/>
          <w:lang w:val="de-DE"/>
        </w:rPr>
        <w:t xml:space="preserve">Abbildung </w:t>
      </w:r>
      <w:r>
        <w:rPr>
          <w:rFonts w:ascii="Scala Sans OT" w:hAnsi="Scala Sans OT"/>
        </w:rPr>
        <w:fldChar w:fldCharType="begin"/>
      </w:r>
      <w:r>
        <w:rPr>
          <w:rFonts w:ascii="Scala Sans OT" w:hAnsi="Scala Sans OT"/>
          <w:lang w:val="de-DE"/>
        </w:rPr>
        <w:instrText xml:space="preserve"> SEQ Abbildung \* ARABIC </w:instrText>
      </w:r>
      <w:r>
        <w:rPr>
          <w:rFonts w:ascii="Scala Sans OT" w:hAnsi="Scala Sans OT"/>
        </w:rPr>
        <w:fldChar w:fldCharType="separate"/>
      </w:r>
      <w:r>
        <w:rPr>
          <w:rFonts w:ascii="Scala Sans OT" w:hAnsi="Scala Sans OT"/>
          <w:noProof/>
          <w:lang w:val="de-DE"/>
        </w:rPr>
        <w:t>2</w:t>
      </w:r>
      <w:r>
        <w:rPr>
          <w:rFonts w:ascii="Scala Sans OT" w:hAnsi="Scala Sans OT"/>
        </w:rPr>
        <w:fldChar w:fldCharType="end"/>
      </w:r>
      <w:r>
        <w:rPr>
          <w:rFonts w:ascii="Scala Sans OT" w:hAnsi="Scala Sans OT"/>
          <w:lang w:val="de-DE"/>
        </w:rPr>
        <w:t>: Anteil übermittelnder GÄ (graue Balken), Anzahl der Meldungen in DEMIS, Anzahl der Falle nach Meldedatum und nach Berichtsdatum des RKI (16.12.2020-04.01.2021)</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t>Eine Korrektur der aktuellen Entwicklung der Fallzahlen ist schwierig, da das Verhalten der Bevölkerung über die Feiertage vom normalen Verhalten abweicht, andere Kontaktmuster entstehen und auch die Auswirkungen der Verschärfung des Lockdowns seit dem 16. Dezember schwer einzuschätzen sind.</w:t>
      </w:r>
    </w:p>
    <w:p>
      <w:pPr>
        <w:pStyle w:val="NurText"/>
        <w:rPr>
          <w:rFonts w:ascii="Scala Sans OT" w:hAnsi="Scala Sans OT"/>
          <w:lang w:val="de-DE"/>
        </w:rPr>
      </w:pPr>
      <w:r>
        <w:rPr>
          <w:rFonts w:ascii="Scala Sans OT" w:hAnsi="Scala Sans OT"/>
          <w:lang w:val="de-DE"/>
        </w:rPr>
        <w:t>Im besten Fall liegt die Anzahl neuer COVID-19 Fälle wieder auf dem Niveau vom November, realistisch ist immer noch von einem höheren Niveau auszugehen.</w:t>
      </w:r>
    </w:p>
    <w:p>
      <w:pPr>
        <w:spacing w:line="240" w:lineRule="auto"/>
        <w:ind w:left="0"/>
        <w:rPr>
          <w:rFonts w:ascii="Scala Sans OT" w:eastAsiaTheme="majorEastAsia" w:hAnsi="Scala Sans OT" w:cstheme="majorBidi"/>
          <w:color w:val="365F91" w:themeColor="accent1" w:themeShade="BF"/>
          <w:sz w:val="26"/>
          <w:szCs w:val="26"/>
        </w:rPr>
      </w:pPr>
      <w:r>
        <w:rPr>
          <w:rFonts w:ascii="Scala Sans OT" w:hAnsi="Scala Sans OT"/>
        </w:rPr>
        <w:lastRenderedPageBreak/>
        <w:br w:type="page"/>
      </w:r>
    </w:p>
    <w:p>
      <w:pPr>
        <w:pStyle w:val="berschrift2"/>
        <w:numPr>
          <w:ilvl w:val="0"/>
          <w:numId w:val="5"/>
        </w:numPr>
        <w:rPr>
          <w:rFonts w:ascii="Scala Sans OT" w:hAnsi="Scala Sans OT"/>
        </w:rPr>
      </w:pPr>
      <w:bookmarkStart w:id="4" w:name="_Toc60668066"/>
      <w:r>
        <w:rPr>
          <w:rFonts w:ascii="Scala Sans OT" w:hAnsi="Scala Sans OT"/>
        </w:rPr>
        <w:t xml:space="preserve">Zahl der durchgeführten labordiagnostischen Untersuchungen und der </w:t>
      </w:r>
      <w:proofErr w:type="spellStart"/>
      <w:r>
        <w:rPr>
          <w:rFonts w:ascii="Scala Sans OT" w:hAnsi="Scala Sans OT"/>
        </w:rPr>
        <w:t>Positivenanteil</w:t>
      </w:r>
      <w:bookmarkEnd w:id="4"/>
      <w:proofErr w:type="spellEnd"/>
    </w:p>
    <w:p>
      <w:pPr>
        <w:pStyle w:val="NurText"/>
        <w:rPr>
          <w:rFonts w:ascii="Scala Sans OT" w:hAnsi="Scala Sans OT"/>
          <w:lang w:val="de-DE"/>
        </w:rPr>
      </w:pPr>
    </w:p>
    <w:p>
      <w:pPr>
        <w:pStyle w:val="NurText"/>
        <w:numPr>
          <w:ilvl w:val="1"/>
          <w:numId w:val="1"/>
        </w:numPr>
        <w:rPr>
          <w:rFonts w:ascii="Scala Sans OT" w:hAnsi="Scala Sans OT"/>
          <w:b/>
          <w:lang w:val="de-DE"/>
        </w:rPr>
      </w:pPr>
      <w:r>
        <w:rPr>
          <w:rFonts w:ascii="Scala Sans OT" w:hAnsi="Scala Sans OT"/>
          <w:b/>
          <w:lang w:val="de-DE"/>
        </w:rPr>
        <w:t>PCR-Testzahlerfassung am RKI (VOXCO- RKI-Testlaborabfrage)</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Das RKI erfasst wöchentlich die SARS-CoV-2 PCR-Testzahlen. Hierfür werden deutschlandweit Daten von Universitätskliniken, Forschungseinrichtungen sowie klinischen und ambulanten Laboren zusammengeführt. Die Erfassung basiert auf einer freiwilligen Mitteilung der Labore und erfolgt über eine webbasierte Plattform (VOXCO, RKI-Testlaborabfrage) oder in Zusammenarbeit mit der am RKI etablierten, laborbasierten SARS-CoV-2-Surveillance (eine Erweiterung der Antibiotika-Resistenz-Surveillance, ARS), dem Netzwerk für respiratorische Viren (</w:t>
      </w:r>
      <w:proofErr w:type="spellStart"/>
      <w:r>
        <w:rPr>
          <w:rFonts w:ascii="Scala Sans OT" w:hAnsi="Scala Sans OT"/>
          <w:lang w:val="de-DE"/>
        </w:rPr>
        <w:t>RespVir</w:t>
      </w:r>
      <w:proofErr w:type="spellEnd"/>
      <w:r>
        <w:rPr>
          <w:rFonts w:ascii="Scala Sans OT" w:hAnsi="Scala Sans OT"/>
          <w:lang w:val="de-DE"/>
        </w:rPr>
        <w:t>) sowie der Abfrage eines labormedizinischen Berufsverbands.</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Bei den erhobenen Daten handelt es sich um eine freiwillige und keine verpflichtende Angabe der Labore, sodass eine Vollerfassung der in Deutschland durchgeführten PCR-Tests auf SARS-CoV-2 zum jetzigen Zeitpunkt nicht vorliegt. Die hier veröffentlichten Daten liefern daher Hinweise zur aktuellen Situation in den Laboren, erlauben aber keine detaillierten oder regionalen Auswertungen sowie Vergleiche mit den gemeldeten Fallzahlen.</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Seit Beginn der Testungen in Deutschland bis einschließlich KW 52/2020 wurden bisher 34.801.593 PCR-Labortests erfasst, davon wurden 1.750.584 positiv auf SARS-CoV-2 getestet. In KW 52 wurden im Vergleich zu den Vorwochen deutlich weniger PCR-Tests durchgeführt. Es ist zu vermuten, dass dies einerseits mit der Schließung vieler Arztpraxen, andererseits auch mit einer geringeren Frequenz von Arztbesuchen in den Feiertagswochen zu begründen ist. Daher ist auch anzunehmen, dass im Vergleich zu den Vorwochen eine geringere Anzahl von Personen mit leichter bis mittelschwere Symptomatik und lediglich Personen mit deutlicher Symptomatik, während der Feiertage einen Arzt aufgesucht haben. Es ist anzunehmen, dass sich dies in den geringeren Testzahlen und in der erhöhten Positivquote widerspiegelt.</w:t>
      </w:r>
    </w:p>
    <w:p>
      <w:pPr>
        <w:pStyle w:val="NurText"/>
        <w:rPr>
          <w:rFonts w:ascii="Scala Sans OT" w:hAnsi="Scala Sans OT"/>
          <w:lang w:val="de-DE"/>
        </w:rPr>
      </w:pPr>
    </w:p>
    <w:tbl>
      <w:tblPr>
        <w:tblW w:w="9620" w:type="dxa"/>
        <w:tblCellMar>
          <w:left w:w="70" w:type="dxa"/>
          <w:right w:w="70" w:type="dxa"/>
        </w:tblCellMar>
        <w:tblLook w:val="04A0" w:firstRow="1" w:lastRow="0" w:firstColumn="1" w:lastColumn="0" w:noHBand="0" w:noVBand="1"/>
      </w:tblPr>
      <w:tblGrid>
        <w:gridCol w:w="2500"/>
        <w:gridCol w:w="1200"/>
        <w:gridCol w:w="2520"/>
        <w:gridCol w:w="1140"/>
        <w:gridCol w:w="2260"/>
      </w:tblGrid>
      <w:tr>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Kalenderwoche 2020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Anzahl Testungen</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Positiv getestet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Positiven-quote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Anzahl übermittelnde Labore</w:t>
            </w:r>
          </w:p>
        </w:tc>
      </w:tr>
      <w:tr>
        <w:trPr>
          <w:trHeight w:val="60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Bis einschließlich KW42</w:t>
            </w:r>
          </w:p>
        </w:tc>
        <w:tc>
          <w:tcPr>
            <w:tcW w:w="1200" w:type="dxa"/>
            <w:tcBorders>
              <w:top w:val="nil"/>
              <w:left w:val="nil"/>
              <w:bottom w:val="nil"/>
              <w:right w:val="nil"/>
            </w:tcBorders>
            <w:shd w:val="clear" w:color="auto" w:fill="auto"/>
            <w:noWrap/>
            <w:vAlign w:val="bottom"/>
            <w:hideMark/>
          </w:tcPr>
          <w:p>
            <w:pPr>
              <w:spacing w:line="240" w:lineRule="auto"/>
              <w:jc w:val="right"/>
              <w:rPr>
                <w:rFonts w:ascii="Scala Sans OT" w:eastAsia="Times New Roman" w:hAnsi="Scala Sans OT" w:cs="Calibri"/>
                <w:color w:val="000000"/>
              </w:rPr>
            </w:pPr>
            <w:r>
              <w:rPr>
                <w:rFonts w:ascii="Scala Sans OT" w:eastAsia="Times New Roman" w:hAnsi="Scala Sans OT" w:cs="Calibri"/>
                <w:color w:val="000000"/>
              </w:rPr>
              <w:t>20.438.657</w:t>
            </w: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421.401</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 </w:t>
            </w:r>
          </w:p>
        </w:tc>
        <w:tc>
          <w:tcPr>
            <w:tcW w:w="226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 </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1.418.726</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78.106</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5,51</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204</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44</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1.631.343</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116.673</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7,15</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204</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45</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1.608.125</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126.141</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7,84</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203</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46*</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1.422.301</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126.181</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8,87</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201</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47*</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1.394.255</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128.668</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9,23</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201</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48*</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1.379.859</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126.140</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9,14</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205</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49*</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1.347.625</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135.136</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10,03</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204</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50*</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1.504.313</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170.200</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11,31</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201</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51*</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1.599.120</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184.940</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11,57</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202</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52*</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1.057.269</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136.998</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12,96</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188</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b/>
                <w:bCs/>
                <w:color w:val="000000"/>
              </w:rPr>
            </w:pPr>
            <w:r>
              <w:rPr>
                <w:rFonts w:ascii="Scala Sans OT" w:eastAsia="Times New Roman" w:hAnsi="Scala Sans OT" w:cs="Calibri"/>
                <w:b/>
                <w:bCs/>
                <w:color w:val="000000"/>
              </w:rPr>
              <w:t>Summe</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b/>
                <w:bCs/>
                <w:color w:val="000000"/>
              </w:rPr>
            </w:pPr>
            <w:r>
              <w:rPr>
                <w:rFonts w:ascii="Scala Sans OT" w:eastAsia="Times New Roman" w:hAnsi="Scala Sans OT" w:cs="Calibri"/>
                <w:b/>
                <w:bCs/>
                <w:color w:val="000000"/>
              </w:rPr>
              <w:t>34.801.593</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b/>
                <w:bCs/>
                <w:color w:val="000000"/>
              </w:rPr>
            </w:pPr>
            <w:r>
              <w:rPr>
                <w:rFonts w:ascii="Scala Sans OT" w:eastAsia="Times New Roman" w:hAnsi="Scala Sans OT" w:cs="Calibri"/>
                <w:b/>
                <w:bCs/>
                <w:color w:val="000000"/>
              </w:rPr>
              <w:t>1.750.584</w:t>
            </w:r>
          </w:p>
        </w:tc>
        <w:tc>
          <w:tcPr>
            <w:tcW w:w="3400" w:type="dxa"/>
            <w:gridSpan w:val="2"/>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 </w:t>
            </w:r>
          </w:p>
        </w:tc>
      </w:tr>
      <w:tr>
        <w:trPr>
          <w:trHeight w:val="290"/>
        </w:trPr>
        <w:tc>
          <w:tcPr>
            <w:tcW w:w="9620" w:type="dxa"/>
            <w:gridSpan w:val="5"/>
            <w:tcBorders>
              <w:top w:val="single" w:sz="4" w:space="0" w:color="auto"/>
              <w:left w:val="nil"/>
              <w:bottom w:val="nil"/>
              <w:right w:val="nil"/>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*Ab 03. November 2020 geänderte Testkriterien, Daten nicht direkt mit Vorwochen vergleichbar</w:t>
            </w:r>
          </w:p>
        </w:tc>
      </w:tr>
    </w:tbl>
    <w:p>
      <w:pPr>
        <w:pStyle w:val="NurText"/>
        <w:rPr>
          <w:rFonts w:ascii="Scala Sans OT" w:hAnsi="Scala Sans OT"/>
          <w:lang w:val="de-DE"/>
        </w:rPr>
      </w:pPr>
    </w:p>
    <w:p>
      <w:pPr>
        <w:rPr>
          <w:rFonts w:ascii="Scala Sans OT" w:hAnsi="Scala Sans OT"/>
          <w:szCs w:val="21"/>
        </w:rPr>
      </w:pPr>
      <w:r>
        <w:rPr>
          <w:rFonts w:ascii="Scala Sans OT" w:hAnsi="Scala Sans OT"/>
        </w:rPr>
        <w:br w:type="page"/>
      </w:r>
    </w:p>
    <w:p>
      <w:pPr>
        <w:pStyle w:val="NurText"/>
        <w:rPr>
          <w:rFonts w:ascii="Scala Sans OT" w:hAnsi="Scala Sans OT"/>
          <w:lang w:val="de-DE"/>
        </w:rPr>
      </w:pPr>
    </w:p>
    <w:p>
      <w:pPr>
        <w:pStyle w:val="NurText"/>
        <w:numPr>
          <w:ilvl w:val="1"/>
          <w:numId w:val="1"/>
        </w:numPr>
        <w:rPr>
          <w:rFonts w:ascii="Scala Sans OT" w:hAnsi="Scala Sans OT"/>
          <w:b/>
          <w:lang w:val="de-DE"/>
        </w:rPr>
      </w:pPr>
      <w:r>
        <w:rPr>
          <w:rFonts w:ascii="Scala Sans OT" w:hAnsi="Scala Sans OT"/>
          <w:b/>
          <w:lang w:val="de-DE"/>
        </w:rPr>
        <w:t>COVID-ARS</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 xml:space="preserve">Datenlage/Informationen zur Methodik: </w:t>
      </w:r>
      <w:r>
        <w:rPr>
          <w:rFonts w:ascii="Scala Sans OT" w:hAnsi="Scala Sans OT"/>
          <w:lang w:val="de-DE"/>
        </w:rPr>
        <w:t>Zur zeitnahen Beurteilung der epidemiologischen Lage und Erfassung des Testverhaltens im ambulanten und stationären Sektor in Deutschland konnte durch Adaptation der Antibiotika-Resistenz-Surveillance (ARS) ein bestehendes Systems zur elektronischen Übermittlung diagnostischer Befunde vom Labor an das RKI eine laborbasierte Surveillance von SARS-CoV-2 implementiert werden.</w:t>
      </w:r>
    </w:p>
    <w:p>
      <w:pPr>
        <w:pStyle w:val="NurText"/>
        <w:rPr>
          <w:rFonts w:ascii="Scala Sans OT" w:hAnsi="Scala Sans OT"/>
          <w:lang w:val="de-DE"/>
        </w:rPr>
      </w:pPr>
      <w:r>
        <w:rPr>
          <w:rFonts w:ascii="Scala Sans OT" w:hAnsi="Scala Sans OT"/>
          <w:lang w:val="de-DE"/>
        </w:rPr>
        <w:t>Mit dem Datenstand vom 02.02.2021 gab es in den vergangenen</w:t>
      </w:r>
      <w:r>
        <w:rPr>
          <w:rFonts w:ascii="Scala Sans OT" w:hAnsi="Scala Sans OT"/>
          <w:b/>
          <w:lang w:val="de-DE"/>
        </w:rPr>
        <w:t xml:space="preserve"> 12</w:t>
      </w:r>
      <w:r>
        <w:rPr>
          <w:rFonts w:ascii="Scala Sans OT" w:hAnsi="Scala Sans OT"/>
          <w:lang w:val="de-DE"/>
        </w:rPr>
        <w:t xml:space="preserve"> Kalenderwochen (</w:t>
      </w:r>
      <w:r>
        <w:rPr>
          <w:rFonts w:ascii="Scala Sans OT" w:hAnsi="Scala Sans OT"/>
          <w:b/>
          <w:lang w:val="de-DE"/>
        </w:rPr>
        <w:t>KW41-KW52</w:t>
      </w:r>
      <w:r>
        <w:rPr>
          <w:rFonts w:ascii="Scala Sans OT" w:hAnsi="Scala Sans OT"/>
          <w:lang w:val="de-DE"/>
        </w:rPr>
        <w:t xml:space="preserve">) </w:t>
      </w:r>
      <w:r>
        <w:rPr>
          <w:rFonts w:ascii="Scala Sans OT" w:hAnsi="Scala Sans OT"/>
          <w:b/>
          <w:lang w:val="de-DE"/>
        </w:rPr>
        <w:t>6.676.661</w:t>
      </w:r>
      <w:r>
        <w:rPr>
          <w:rFonts w:ascii="Scala Sans OT" w:hAnsi="Scala Sans OT"/>
          <w:lang w:val="de-DE"/>
        </w:rPr>
        <w:t xml:space="preserve"> PCR-Testungen (übermittelt von insgesamt</w:t>
      </w:r>
      <w:r>
        <w:rPr>
          <w:rFonts w:ascii="Scala Sans OT" w:hAnsi="Scala Sans OT"/>
          <w:b/>
          <w:lang w:val="de-DE"/>
        </w:rPr>
        <w:t xml:space="preserve"> 72</w:t>
      </w:r>
      <w:r>
        <w:rPr>
          <w:rFonts w:ascii="Scala Sans OT" w:hAnsi="Scala Sans OT"/>
          <w:lang w:val="de-DE"/>
        </w:rPr>
        <w:t xml:space="preserve"> teilnehmenden Laboren). Hiervon waren </w:t>
      </w:r>
      <w:r>
        <w:rPr>
          <w:rFonts w:ascii="Scala Sans OT" w:hAnsi="Scala Sans OT"/>
          <w:b/>
          <w:lang w:val="de-DE"/>
        </w:rPr>
        <w:t>557.006 (8.3%)</w:t>
      </w:r>
      <w:r>
        <w:rPr>
          <w:rFonts w:ascii="Scala Sans OT" w:hAnsi="Scala Sans OT"/>
          <w:lang w:val="de-DE"/>
        </w:rPr>
        <w:t xml:space="preserve"> positiv. </w:t>
      </w:r>
    </w:p>
    <w:p>
      <w:pPr>
        <w:spacing w:line="240" w:lineRule="auto"/>
        <w:ind w:left="0"/>
        <w:rPr>
          <w:rFonts w:ascii="Scala Sans OT" w:eastAsiaTheme="minorHAnsi" w:hAnsi="Scala Sans OT"/>
          <w:sz w:val="22"/>
          <w:szCs w:val="21"/>
          <w:lang w:eastAsia="en-US"/>
        </w:rPr>
      </w:pPr>
      <w:r>
        <w:rPr>
          <w:rFonts w:ascii="Scala Sans OT" w:eastAsiaTheme="minorHAnsi" w:hAnsi="Scala Sans OT"/>
          <w:sz w:val="22"/>
          <w:szCs w:val="21"/>
          <w:lang w:eastAsia="en-US"/>
        </w:rPr>
        <w:t xml:space="preserve">Datenstand 02.01.2020: Zwischen der 51. und 52. Kalenderwoche ist ein deutlicher Rückgang an durchgeführten Testungen zu beobachten gewesen. In KW 51 wurden von den teilnehmenden Laboren 666.400 Testungen übermittelt, in KW 52 404.300, was einem Rückgang um annährend 40% entspricht. Insbesondere in Arztpraxen wurde in diesem Zeitraum weniger getestet (Rückgang Testungen um 47%). Dabei stiegen gleichzeitig die Anteile der positiven Testergebnisse: </w:t>
      </w:r>
      <w:proofErr w:type="spellStart"/>
      <w:r>
        <w:rPr>
          <w:rFonts w:ascii="Scala Sans OT" w:eastAsiaTheme="minorHAnsi" w:hAnsi="Scala Sans OT"/>
          <w:sz w:val="22"/>
          <w:szCs w:val="21"/>
          <w:lang w:eastAsia="en-US"/>
        </w:rPr>
        <w:t>Positivenanteil</w:t>
      </w:r>
      <w:proofErr w:type="spellEnd"/>
      <w:r>
        <w:rPr>
          <w:rFonts w:ascii="Scala Sans OT" w:eastAsiaTheme="minorHAnsi" w:hAnsi="Scala Sans OT"/>
          <w:sz w:val="22"/>
          <w:szCs w:val="21"/>
          <w:lang w:eastAsia="en-US"/>
        </w:rPr>
        <w:t xml:space="preserve"> gesamt KW 51 von 11,4% im Vergleich KW 52 von 13,8%. In der </w:t>
      </w:r>
      <w:proofErr w:type="spellStart"/>
      <w:r>
        <w:rPr>
          <w:rFonts w:ascii="Scala Sans OT" w:eastAsiaTheme="minorHAnsi" w:hAnsi="Scala Sans OT"/>
          <w:sz w:val="22"/>
          <w:szCs w:val="21"/>
          <w:lang w:eastAsia="en-US"/>
        </w:rPr>
        <w:t>Altersstratifizierung</w:t>
      </w:r>
      <w:proofErr w:type="spellEnd"/>
      <w:r>
        <w:rPr>
          <w:rFonts w:ascii="Scala Sans OT" w:eastAsiaTheme="minorHAnsi" w:hAnsi="Scala Sans OT"/>
          <w:sz w:val="22"/>
          <w:szCs w:val="21"/>
          <w:lang w:eastAsia="en-US"/>
        </w:rPr>
        <w:t xml:space="preserve"> zeigt sich, dass am meisten Testungen pro 100.000 Personen in der Altersgruppe der ab 80-Jährigen erfasst wurden, am wenigsten in der Gruppe der 0-4-Jährigen (Abbildung 1). Der Rückgang der Anzahl der Testungen betrug zwischen KW 51 und KW 52 in der Altersgruppe der über 80-Jährigen 28% in der Gruppe der 0-4-Jährigen 43%. Dabei stiegen die Testpositiven-Anteile in der Altersgruppe der über 80-Jährigen in KW 52 auf 22,3% (KW 51: 19,4%). In der Altersgruppe der 0-4-Jährigen stiegen die </w:t>
      </w:r>
      <w:proofErr w:type="spellStart"/>
      <w:r>
        <w:rPr>
          <w:rFonts w:ascii="Scala Sans OT" w:eastAsiaTheme="minorHAnsi" w:hAnsi="Scala Sans OT"/>
          <w:sz w:val="22"/>
          <w:szCs w:val="21"/>
          <w:lang w:eastAsia="en-US"/>
        </w:rPr>
        <w:t>Positivenanteile</w:t>
      </w:r>
      <w:proofErr w:type="spellEnd"/>
      <w:r>
        <w:rPr>
          <w:rFonts w:ascii="Scala Sans OT" w:eastAsiaTheme="minorHAnsi" w:hAnsi="Scala Sans OT"/>
          <w:sz w:val="22"/>
          <w:szCs w:val="21"/>
          <w:lang w:eastAsia="en-US"/>
        </w:rPr>
        <w:t xml:space="preserve"> lediglich um 0,5% auf 6,5% in KW52. </w:t>
      </w:r>
    </w:p>
    <w:p>
      <w:pPr>
        <w:keepNext/>
        <w:spacing w:before="180" w:after="180"/>
        <w:rPr>
          <w:rFonts w:ascii="Scala Sans OT" w:hAnsi="Scala Sans OT"/>
        </w:rPr>
      </w:pPr>
      <w:r>
        <w:rPr>
          <w:rFonts w:ascii="Scala Sans OT" w:hAnsi="Scala Sans OT"/>
          <w:noProof/>
        </w:rPr>
        <w:drawing>
          <wp:inline distT="0" distB="0" distL="0" distR="0">
            <wp:extent cx="5842000" cy="324555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S:/Wissdaten/FG37_SARS-COV_2/fig_temp/unnamed-chunk-19-1.png"/>
                    <pic:cNvPicPr>
                      <a:picLocks noChangeAspect="1" noChangeArrowheads="1"/>
                    </pic:cNvPicPr>
                  </pic:nvPicPr>
                  <pic:blipFill>
                    <a:blip r:embed="rId11"/>
                    <a:stretch>
                      <a:fillRect/>
                    </a:stretch>
                  </pic:blipFill>
                  <pic:spPr bwMode="auto">
                    <a:xfrm>
                      <a:off x="0" y="0"/>
                      <a:ext cx="5842000" cy="3245555"/>
                    </a:xfrm>
                    <a:prstGeom prst="rect">
                      <a:avLst/>
                    </a:prstGeom>
                    <a:noFill/>
                    <a:ln w="9525">
                      <a:noFill/>
                      <a:headEnd/>
                      <a:tailEnd/>
                    </a:ln>
                  </pic:spPr>
                </pic:pic>
              </a:graphicData>
            </a:graphic>
          </wp:inline>
        </w:drawing>
      </w:r>
    </w:p>
    <w:p>
      <w:pPr>
        <w:pStyle w:val="Beschriftung"/>
        <w:rPr>
          <w:rFonts w:ascii="Scala Sans OT" w:hAnsi="Scala Sans OT"/>
          <w:i w:val="0"/>
          <w:iCs w:val="0"/>
          <w:lang w:val="de-DE"/>
        </w:rPr>
      </w:pPr>
      <w:r>
        <w:rPr>
          <w:rFonts w:ascii="Scala Sans OT" w:hAnsi="Scala Sans OT"/>
          <w:lang w:val="de-DE"/>
        </w:rPr>
        <w:t xml:space="preserve">Abbildung </w:t>
      </w:r>
      <w:r>
        <w:rPr>
          <w:rFonts w:ascii="Scala Sans OT" w:hAnsi="Scala Sans OT"/>
        </w:rPr>
        <w:fldChar w:fldCharType="begin"/>
      </w:r>
      <w:r>
        <w:rPr>
          <w:rFonts w:ascii="Scala Sans OT" w:hAnsi="Scala Sans OT"/>
          <w:lang w:val="de-DE"/>
        </w:rPr>
        <w:instrText xml:space="preserve"> SEQ Abbildung \* ARABIC </w:instrText>
      </w:r>
      <w:r>
        <w:rPr>
          <w:rFonts w:ascii="Scala Sans OT" w:hAnsi="Scala Sans OT"/>
        </w:rPr>
        <w:fldChar w:fldCharType="separate"/>
      </w:r>
      <w:r>
        <w:rPr>
          <w:rFonts w:ascii="Scala Sans OT" w:hAnsi="Scala Sans OT"/>
          <w:noProof/>
          <w:lang w:val="de-DE"/>
        </w:rPr>
        <w:t>3</w:t>
      </w:r>
      <w:r>
        <w:rPr>
          <w:rFonts w:ascii="Scala Sans OT" w:hAnsi="Scala Sans OT"/>
        </w:rPr>
        <w:fldChar w:fldCharType="end"/>
      </w:r>
      <w:r>
        <w:rPr>
          <w:rFonts w:ascii="Scala Sans OT" w:hAnsi="Scala Sans OT"/>
          <w:lang w:val="de-DE"/>
        </w:rPr>
        <w:t>: Anzahl der Personen mit SARS-CoV-2-PCR-Testung pro 100.000 Einwohner nach Altersgruppe und Kalenderwoche (</w:t>
      </w:r>
      <w:r>
        <w:rPr>
          <w:rFonts w:ascii="Scala Sans OT" w:hAnsi="Scala Sans OT"/>
          <w:i w:val="0"/>
          <w:iCs w:val="0"/>
          <w:lang w:val="de-DE"/>
        </w:rPr>
        <w:t>laborbasierte Surveillance SARS-CoV-2, KW41-KW52, Datenstand 02.01.2021</w:t>
      </w:r>
      <w:r>
        <w:rPr>
          <w:rFonts w:ascii="Scala Sans OT" w:hAnsi="Scala Sans OT"/>
          <w:i w:val="0"/>
          <w:iCs w:val="0"/>
          <w:lang w:val="de-DE"/>
        </w:rPr>
        <w:t>)</w:t>
      </w:r>
    </w:p>
    <w:p>
      <w:pPr>
        <w:spacing w:before="180" w:after="180" w:line="240" w:lineRule="auto"/>
        <w:ind w:left="0"/>
        <w:rPr>
          <w:rFonts w:ascii="Scala Sans OT" w:eastAsiaTheme="minorHAnsi" w:hAnsi="Scala Sans OT"/>
          <w:sz w:val="22"/>
          <w:szCs w:val="21"/>
          <w:lang w:eastAsia="en-US"/>
        </w:rPr>
      </w:pPr>
      <w:r>
        <w:rPr>
          <w:rFonts w:ascii="Scala Sans OT" w:eastAsiaTheme="minorHAnsi" w:hAnsi="Scala Sans OT"/>
          <w:sz w:val="22"/>
          <w:szCs w:val="21"/>
          <w:lang w:eastAsia="en-US"/>
        </w:rPr>
        <w:t>Bei der Interpretation der Inzidenzen ist zu beachten, dass die Daten keine Vollerfassung darstellen und wahrscheinlich jüngere Altersgruppen etwas schwächer und ältere Altersgruppen etwas stärker repräsentiert sind.</w:t>
      </w:r>
    </w:p>
    <w:p>
      <w:pPr>
        <w:pStyle w:val="NurText"/>
        <w:rPr>
          <w:rFonts w:ascii="Scala Sans OT" w:hAnsi="Scala Sans OT"/>
          <w:b/>
          <w:lang w:val="de-DE"/>
        </w:rPr>
      </w:pPr>
      <w:r>
        <w:rPr>
          <w:rFonts w:ascii="Scala Sans OT" w:hAnsi="Scala Sans OT"/>
          <w:b/>
          <w:lang w:val="de-DE"/>
        </w:rPr>
        <w:t xml:space="preserve">Limitationen: </w:t>
      </w:r>
      <w:r>
        <w:rPr>
          <w:rFonts w:ascii="Scala Sans OT" w:hAnsi="Scala Sans OT"/>
          <w:lang w:val="de-DE"/>
        </w:rPr>
        <w:t xml:space="preserve">Die laborbasierte SARS-CoV-2-Surveillance beruht auf der freiwilligen Teilnahme von Laboren. Es handelt sich damit um Daten aus einer Stichprobe von Laboren, nicht um eine Vollerhebung aller Testungen in Deutschland. </w:t>
      </w:r>
      <w:r>
        <w:rPr>
          <w:rFonts w:ascii="Scala Sans OT" w:hAnsi="Scala Sans OT"/>
          <w:b/>
          <w:lang w:val="de-DE"/>
        </w:rPr>
        <w:t>Zurzeit kann von einer Abdeckung von 30-35% ausgegangen werden.</w:t>
      </w:r>
    </w:p>
    <w:p>
      <w:pPr>
        <w:pStyle w:val="NurText"/>
        <w:rPr>
          <w:rFonts w:ascii="Scala Sans OT" w:hAnsi="Scala Sans OT"/>
          <w:lang w:val="de-DE"/>
        </w:rPr>
      </w:pPr>
      <w:r>
        <w:rPr>
          <w:rFonts w:ascii="Scala Sans OT" w:hAnsi="Scala Sans OT"/>
          <w:lang w:val="de-DE"/>
        </w:rPr>
        <w:t>Repräsentativität: Tendenziell sind Krankenhauslabore gegenüber den niedergelassenen Laboren unterrepräsentiert.</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 xml:space="preserve">Bewertung: </w:t>
      </w:r>
      <w:r>
        <w:rPr>
          <w:rFonts w:ascii="Scala Sans OT" w:hAnsi="Scala Sans OT"/>
          <w:lang w:val="de-DE"/>
        </w:rPr>
        <w:t xml:space="preserve">Der deutliche Rückgang der Testungen zwischen KW 51 und KW 52 zeigt, dass während der Feiertage weniger PCR-Testungen durchgeführt wurden. Der sich zwischen den Altersgruppen und den testenden Institutionen (Arztpraxis, Krankenhaus, Andere) unterscheidende Rückgang der Testungen erschwert die Interpretation der Daten. Der Anstieg der </w:t>
      </w:r>
      <w:proofErr w:type="spellStart"/>
      <w:r>
        <w:rPr>
          <w:rFonts w:ascii="Scala Sans OT" w:hAnsi="Scala Sans OT"/>
          <w:lang w:val="de-DE"/>
        </w:rPr>
        <w:t>Positivenanteile</w:t>
      </w:r>
      <w:proofErr w:type="spellEnd"/>
      <w:r>
        <w:rPr>
          <w:rFonts w:ascii="Scala Sans OT" w:hAnsi="Scala Sans OT"/>
          <w:lang w:val="de-DE"/>
        </w:rPr>
        <w:t xml:space="preserve"> lässt sich vermutlich darauf zurückführen, dass die Reduktion der Testungen zu einer Selektion der Getesteten geführt hat: hin zu denjenigen die auf Grund von Symptomen, Kontakt oder vorangegangener positiver Antigentestung mit größerer Wahrscheinlichkeit positiv sein würden (höhere Prätestwahrscheinlichkeit). Bemerkenswert ist, dass die </w:t>
      </w:r>
      <w:proofErr w:type="spellStart"/>
      <w:r>
        <w:rPr>
          <w:rFonts w:ascii="Scala Sans OT" w:hAnsi="Scala Sans OT"/>
          <w:lang w:val="de-DE"/>
        </w:rPr>
        <w:t>Positivenanteile</w:t>
      </w:r>
      <w:proofErr w:type="spellEnd"/>
      <w:r>
        <w:rPr>
          <w:rFonts w:ascii="Scala Sans OT" w:hAnsi="Scala Sans OT"/>
          <w:lang w:val="de-DE"/>
        </w:rPr>
        <w:t xml:space="preserve"> in den jüngeren Altersgruppen, trotz besonders deutlichem Rückgang an Testungen, dabei weniger stark angestiegen sind. Steigende </w:t>
      </w:r>
      <w:proofErr w:type="spellStart"/>
      <w:r>
        <w:rPr>
          <w:rFonts w:ascii="Scala Sans OT" w:hAnsi="Scala Sans OT"/>
          <w:lang w:val="de-DE"/>
        </w:rPr>
        <w:t>Positivenanteile</w:t>
      </w:r>
      <w:proofErr w:type="spellEnd"/>
      <w:r>
        <w:rPr>
          <w:rFonts w:ascii="Scala Sans OT" w:hAnsi="Scala Sans OT"/>
          <w:lang w:val="de-DE"/>
        </w:rPr>
        <w:t xml:space="preserve"> bei gleichzeitigem Rückgang der Anzahl an Testungen sollten, bis zum Beweis des Gegenteils, als Zeichen für eine steigende Untererfassung tatsächlicher SARS-CoV2 Fälle gewertet werden. Dieser Anstieg der Unterfassung wird auf Grund der oben beschriebenen möglichen Selektion der Getesteten aber höchstwahrscheinlich weniger stark sein als durch den Abfall der Testzahlen angenommen werden könnte.  </w:t>
      </w:r>
    </w:p>
    <w:p>
      <w:pPr>
        <w:pStyle w:val="NurText"/>
        <w:rPr>
          <w:rFonts w:ascii="Scala Sans OT" w:hAnsi="Scala Sans OT"/>
          <w:lang w:val="de-DE"/>
        </w:rPr>
      </w:pPr>
    </w:p>
    <w:p>
      <w:pPr>
        <w:pStyle w:val="berschrift2"/>
        <w:numPr>
          <w:ilvl w:val="0"/>
          <w:numId w:val="5"/>
        </w:numPr>
        <w:rPr>
          <w:rFonts w:ascii="Scala Sans OT" w:hAnsi="Scala Sans OT"/>
        </w:rPr>
      </w:pPr>
      <w:bookmarkStart w:id="5" w:name="_Toc60668067"/>
      <w:proofErr w:type="spellStart"/>
      <w:r>
        <w:rPr>
          <w:rFonts w:ascii="Scala Sans OT" w:hAnsi="Scala Sans OT"/>
        </w:rPr>
        <w:t>Syndromische</w:t>
      </w:r>
      <w:proofErr w:type="spellEnd"/>
      <w:r>
        <w:rPr>
          <w:rFonts w:ascii="Scala Sans OT" w:hAnsi="Scala Sans OT"/>
        </w:rPr>
        <w:t xml:space="preserve"> Krankheitsüberwachung</w:t>
      </w:r>
      <w:bookmarkEnd w:id="5"/>
    </w:p>
    <w:p>
      <w:pPr>
        <w:pStyle w:val="NurText"/>
        <w:rPr>
          <w:rFonts w:ascii="Scala Sans OT" w:hAnsi="Scala Sans OT"/>
          <w:lang w:val="de-DE"/>
        </w:rPr>
      </w:pPr>
    </w:p>
    <w:p>
      <w:pPr>
        <w:pStyle w:val="NurText"/>
        <w:numPr>
          <w:ilvl w:val="0"/>
          <w:numId w:val="4"/>
        </w:numPr>
        <w:rPr>
          <w:rFonts w:ascii="Scala Sans OT" w:hAnsi="Scala Sans OT"/>
          <w:b/>
          <w:lang w:val="de-DE"/>
        </w:rPr>
      </w:pPr>
      <w:proofErr w:type="spellStart"/>
      <w:r>
        <w:rPr>
          <w:rFonts w:ascii="Scala Sans OT" w:hAnsi="Scala Sans OT"/>
          <w:b/>
          <w:lang w:val="de-DE"/>
        </w:rPr>
        <w:t>GrippeWeb</w:t>
      </w:r>
      <w:proofErr w:type="spellEnd"/>
      <w:r>
        <w:rPr>
          <w:rFonts w:ascii="Scala Sans OT" w:hAnsi="Scala Sans OT"/>
          <w:b/>
          <w:lang w:val="de-DE"/>
        </w:rPr>
        <w:t>/</w:t>
      </w:r>
      <w:proofErr w:type="spellStart"/>
      <w:r>
        <w:rPr>
          <w:rFonts w:ascii="Scala Sans OT" w:hAnsi="Scala Sans OT"/>
          <w:b/>
          <w:lang w:val="de-DE"/>
        </w:rPr>
        <w:t>GrippeWeb</w:t>
      </w:r>
      <w:proofErr w:type="spellEnd"/>
      <w:r>
        <w:rPr>
          <w:rFonts w:ascii="Scala Sans OT" w:hAnsi="Scala Sans OT"/>
          <w:b/>
          <w:lang w:val="de-DE"/>
        </w:rPr>
        <w:t>-plus</w:t>
      </w:r>
    </w:p>
    <w:p>
      <w:pPr>
        <w:pStyle w:val="NurText"/>
        <w:ind w:left="1440"/>
        <w:rPr>
          <w:rFonts w:ascii="Scala Sans OT" w:hAnsi="Scala Sans OT"/>
          <w:lang w:val="de-DE"/>
        </w:rPr>
      </w:pPr>
    </w:p>
    <w:p>
      <w:pPr>
        <w:pStyle w:val="NurText"/>
        <w:rPr>
          <w:rFonts w:ascii="Scala Sans OT" w:hAnsi="Scala Sans OT"/>
          <w:b/>
          <w:lang w:val="de-DE"/>
        </w:rPr>
      </w:pPr>
      <w:r>
        <w:rPr>
          <w:rFonts w:ascii="Scala Sans OT" w:hAnsi="Scala Sans OT"/>
          <w:b/>
          <w:lang w:val="de-DE"/>
        </w:rPr>
        <w:t xml:space="preserve">Datenlage/Informationen zur Methodik: </w:t>
      </w:r>
    </w:p>
    <w:p>
      <w:pPr>
        <w:pStyle w:val="NurText"/>
        <w:rPr>
          <w:rFonts w:ascii="Scala Sans OT" w:hAnsi="Scala Sans OT"/>
          <w:lang w:val="de-DE"/>
        </w:rPr>
      </w:pPr>
      <w:r>
        <w:rPr>
          <w:rFonts w:ascii="Scala Sans OT" w:hAnsi="Scala Sans OT"/>
          <w:lang w:val="de-DE"/>
        </w:rPr>
        <w:t xml:space="preserve">Methodik: Bevölkerungsbasiertes, online-Befragungssystem, Erinnerungsfunktion per E-Mail, Eingabe auf Webseite, gegenwärtig mehr als 9.000 Meldungen wöchentlich, veröffentlicht wird: akute Atemwegserkrankungen (ARE), grippeähnliche Erkrankungen (ILI), gewichtet für Altersgruppe und Geschlecht, die Bundesländer sind rel. gut repräsentiert. </w:t>
      </w:r>
    </w:p>
    <w:p>
      <w:pPr>
        <w:pStyle w:val="NurText"/>
        <w:rPr>
          <w:rFonts w:ascii="Scala Sans OT" w:hAnsi="Scala Sans OT"/>
          <w:lang w:val="de-DE"/>
        </w:rPr>
      </w:pPr>
      <w:r>
        <w:rPr>
          <w:rFonts w:ascii="Scala Sans OT" w:hAnsi="Scala Sans OT"/>
          <w:lang w:val="de-DE"/>
        </w:rPr>
        <w:t>Datenlage/Informationen: Entwicklung der ARE-Rate: KW50-51-52:  3,4-2,9-2,1%. ILI-Raten genauso. Lockdown-Impact scheint sichtbar, da der Abfall der Raten früher und deutlicher als sonst üblich, obwohl auf niedrigerem Niveau „gestartet“ (sonst ARE-Rate in KW50 ca. 6-7%).</w:t>
      </w:r>
    </w:p>
    <w:p>
      <w:pPr>
        <w:pStyle w:val="NurText"/>
        <w:rPr>
          <w:rFonts w:ascii="Scala Sans OT" w:hAnsi="Scala Sans OT"/>
          <w:lang w:val="de-DE"/>
        </w:rPr>
      </w:pPr>
    </w:p>
    <w:tbl>
      <w:tblPr>
        <w:tblStyle w:val="Tabellenraster"/>
        <w:tblW w:w="9518" w:type="dxa"/>
        <w:tblLook w:val="04A0" w:firstRow="1" w:lastRow="0" w:firstColumn="1" w:lastColumn="0" w:noHBand="0" w:noVBand="1"/>
      </w:tblPr>
      <w:tblGrid>
        <w:gridCol w:w="4755"/>
        <w:gridCol w:w="4763"/>
      </w:tblGrid>
      <w:tr>
        <w:trPr>
          <w:trHeight w:val="3250"/>
        </w:trPr>
        <w:tc>
          <w:tcPr>
            <w:tcW w:w="4755" w:type="dxa"/>
          </w:tcPr>
          <w:p>
            <w:pPr>
              <w:pStyle w:val="NurText"/>
              <w:rPr>
                <w:rFonts w:ascii="Scala Sans OT" w:hAnsi="Scala Sans OT"/>
                <w:lang w:val="de-DE"/>
              </w:rPr>
            </w:pPr>
            <w:r>
              <w:rPr>
                <w:rFonts w:ascii="Scala Sans OT" w:hAnsi="Scala Sans OT"/>
                <w:noProof/>
              </w:rPr>
              <w:drawing>
                <wp:inline distT="0" distB="0" distL="0" distR="0">
                  <wp:extent cx="2605177" cy="1933253"/>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7470" cy="1942375"/>
                          </a:xfrm>
                          <a:prstGeom prst="rect">
                            <a:avLst/>
                          </a:prstGeom>
                        </pic:spPr>
                      </pic:pic>
                    </a:graphicData>
                  </a:graphic>
                </wp:inline>
              </w:drawing>
            </w:r>
          </w:p>
        </w:tc>
        <w:tc>
          <w:tcPr>
            <w:tcW w:w="4763" w:type="dxa"/>
          </w:tcPr>
          <w:p>
            <w:pPr>
              <w:pStyle w:val="NurText"/>
              <w:rPr>
                <w:rFonts w:ascii="Scala Sans OT" w:hAnsi="Scala Sans OT"/>
                <w:lang w:val="de-DE"/>
              </w:rPr>
            </w:pPr>
            <w:r>
              <w:rPr>
                <w:rFonts w:ascii="Scala Sans OT" w:hAnsi="Scala Sans OT"/>
                <w:noProof/>
              </w:rPr>
              <w:drawing>
                <wp:inline distT="0" distB="0" distL="0" distR="0">
                  <wp:extent cx="2631056" cy="1922243"/>
                  <wp:effectExtent l="0" t="0" r="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4627" cy="1924852"/>
                          </a:xfrm>
                          <a:prstGeom prst="rect">
                            <a:avLst/>
                          </a:prstGeom>
                        </pic:spPr>
                      </pic:pic>
                    </a:graphicData>
                  </a:graphic>
                </wp:inline>
              </w:drawing>
            </w:r>
          </w:p>
        </w:tc>
      </w:tr>
      <w:tr>
        <w:trPr>
          <w:trHeight w:val="272"/>
        </w:trPr>
        <w:tc>
          <w:tcPr>
            <w:tcW w:w="4755" w:type="dxa"/>
          </w:tcPr>
          <w:p>
            <w:pPr>
              <w:pStyle w:val="NurText"/>
              <w:rPr>
                <w:rFonts w:ascii="Scala Sans OT" w:hAnsi="Scala Sans OT"/>
                <w:noProof/>
              </w:rPr>
            </w:pPr>
            <w:r>
              <w:rPr>
                <w:rFonts w:ascii="Scala Sans OT" w:hAnsi="Scala Sans OT"/>
                <w:noProof/>
              </w:rPr>
              <w:t>ARE-Rate in Gesamtbevölkerung</w:t>
            </w:r>
          </w:p>
        </w:tc>
        <w:tc>
          <w:tcPr>
            <w:tcW w:w="4763" w:type="dxa"/>
          </w:tcPr>
          <w:p>
            <w:pPr>
              <w:pStyle w:val="NurText"/>
              <w:rPr>
                <w:rFonts w:ascii="Scala Sans OT" w:hAnsi="Scala Sans OT"/>
                <w:noProof/>
                <w:lang w:val="de-DE"/>
              </w:rPr>
            </w:pPr>
            <w:r>
              <w:rPr>
                <w:rFonts w:ascii="Scala Sans OT" w:hAnsi="Scala Sans OT"/>
                <w:noProof/>
                <w:lang w:val="de-DE"/>
              </w:rPr>
              <w:t>ARE-Rate bei Kinder und Erwachsenen</w:t>
            </w:r>
          </w:p>
        </w:tc>
      </w:tr>
    </w:tbl>
    <w:p>
      <w:pPr>
        <w:pStyle w:val="NurText"/>
        <w:rPr>
          <w:rFonts w:ascii="Scala Sans OT" w:hAnsi="Scala Sans OT"/>
          <w:lang w:val="de-DE"/>
        </w:rPr>
      </w:pPr>
    </w:p>
    <w:p>
      <w:pPr>
        <w:pStyle w:val="NurText"/>
        <w:numPr>
          <w:ilvl w:val="0"/>
          <w:numId w:val="4"/>
        </w:numPr>
        <w:rPr>
          <w:rFonts w:ascii="Scala Sans OT" w:hAnsi="Scala Sans OT"/>
          <w:b/>
          <w:lang w:val="de-DE"/>
        </w:rPr>
      </w:pPr>
      <w:r>
        <w:rPr>
          <w:rFonts w:ascii="Scala Sans OT" w:hAnsi="Scala Sans OT"/>
          <w:b/>
          <w:lang w:val="de-DE"/>
        </w:rPr>
        <w:t>Arbeitsgemeinschaft Influenza</w:t>
      </w:r>
    </w:p>
    <w:p>
      <w:pPr>
        <w:pStyle w:val="NurText"/>
        <w:ind w:left="1440"/>
        <w:rPr>
          <w:rFonts w:ascii="Scala Sans OT" w:hAnsi="Scala Sans OT"/>
          <w:b/>
          <w:lang w:val="de-DE"/>
        </w:rPr>
      </w:pPr>
    </w:p>
    <w:p>
      <w:pPr>
        <w:pStyle w:val="NurText"/>
        <w:numPr>
          <w:ilvl w:val="2"/>
          <w:numId w:val="1"/>
        </w:numPr>
        <w:rPr>
          <w:rFonts w:ascii="Scala Sans OT" w:hAnsi="Scala Sans OT"/>
          <w:b/>
          <w:lang w:val="de-DE"/>
        </w:rPr>
      </w:pPr>
      <w:r>
        <w:rPr>
          <w:rFonts w:ascii="Scala Sans OT" w:hAnsi="Scala Sans OT"/>
          <w:b/>
          <w:lang w:val="de-DE"/>
        </w:rPr>
        <w:t>Konsultationsinzidenz</w:t>
      </w:r>
    </w:p>
    <w:p>
      <w:pPr>
        <w:pStyle w:val="NurText"/>
        <w:ind w:left="2160"/>
        <w:rPr>
          <w:rFonts w:ascii="Scala Sans OT" w:hAnsi="Scala Sans OT"/>
          <w:lang w:val="de-DE"/>
        </w:rPr>
      </w:pPr>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Im ambulanten Bereich überwacht die AGI mit ihrem Netzwerk aus primärversorgenden </w:t>
      </w:r>
      <w:proofErr w:type="spellStart"/>
      <w:r>
        <w:rPr>
          <w:rFonts w:ascii="Scala Sans OT" w:hAnsi="Scala Sans OT"/>
          <w:lang w:val="de-DE"/>
        </w:rPr>
        <w:t>Sentinelärztinnen</w:t>
      </w:r>
      <w:proofErr w:type="spellEnd"/>
      <w:r>
        <w:rPr>
          <w:rFonts w:ascii="Scala Sans OT" w:hAnsi="Scala Sans OT"/>
          <w:lang w:val="de-DE"/>
        </w:rPr>
        <w:t xml:space="preserve"> und -ärzten Arztbesuche von Personen mit akuten respiratorischen Erkrankungen (ARE). Mit den Daten aus den </w:t>
      </w:r>
      <w:proofErr w:type="spellStart"/>
      <w:r>
        <w:rPr>
          <w:rFonts w:ascii="Scala Sans OT" w:hAnsi="Scala Sans OT"/>
          <w:lang w:val="de-DE"/>
        </w:rPr>
        <w:t>Sentinelpraxen</w:t>
      </w:r>
      <w:proofErr w:type="spellEnd"/>
      <w:r>
        <w:rPr>
          <w:rFonts w:ascii="Scala Sans OT" w:hAnsi="Scala Sans OT"/>
          <w:lang w:val="de-DE"/>
        </w:rPr>
        <w:t xml:space="preserve"> werden die wöchentlichen Arztbesuche wegen ARE pro 100.000 Einwohner gesamt und in einzelnen Altersgruppen in Deutschland geschätzt (ARE-Konsultationsinzidenz). Ein großer Teil der </w:t>
      </w:r>
      <w:proofErr w:type="spellStart"/>
      <w:r>
        <w:rPr>
          <w:rFonts w:ascii="Scala Sans OT" w:hAnsi="Scala Sans OT"/>
          <w:lang w:val="de-DE"/>
        </w:rPr>
        <w:t>Sentinelpraxen</w:t>
      </w:r>
      <w:proofErr w:type="spellEnd"/>
      <w:r>
        <w:rPr>
          <w:rFonts w:ascii="Scala Sans OT" w:hAnsi="Scala Sans OT"/>
          <w:lang w:val="de-DE"/>
        </w:rPr>
        <w:t xml:space="preserve"> meldet die ARE-Erkrankungen über das elektronische Modul SEEDARE der AGI.  Grundsätzlich wird die „ARE-Hintergrundaktivität“ im Winterhalbjahr insbesondere durch die häufigen ARE (Erkältungen, grippale Infekte) in der Altersgruppe der Kleinkinder mitbestimmt.</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COVID-19 ist eine der akuten Atemwegserkrankungen, die zu den Arztbesuchen führen und damit zur ARE-Konsultationsinzidenz beitragen, daneben führen auch ARE verursacht durch andere Erreger (z.B. </w:t>
      </w:r>
      <w:proofErr w:type="spellStart"/>
      <w:r>
        <w:rPr>
          <w:rFonts w:ascii="Scala Sans OT" w:hAnsi="Scala Sans OT"/>
          <w:lang w:val="de-DE"/>
        </w:rPr>
        <w:t>Rhinoviren</w:t>
      </w:r>
      <w:proofErr w:type="spellEnd"/>
      <w:r>
        <w:rPr>
          <w:rFonts w:ascii="Scala Sans OT" w:hAnsi="Scala Sans OT"/>
          <w:lang w:val="de-DE"/>
        </w:rPr>
        <w:t xml:space="preserve"> und andere Erkältungsviren) zu Arztbesuchen. Zwischen den Jahren kommt es grundsätzlich aufgrund eines geänderten Konsultationsverhaltens und anderer Rahmenbedingungen (viele Arztpraxen sind geschlossen, es wird häufig keine Arbeitsunfähigkeitsbescheinigung benötigt) zu einer deutlich erniedrigten ARE-Konsultationsinzidenz. Die Werte sind deshalb über den Jahreswechsel schwer zu beurteilen. </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Seit der 46. KW 2020 lagen die Werte der ARE-Konsultationsinzidenz unter den Werten der Vorsaison. Von der 50. zur 52. KW wurde ein weiterer, zum Jahreswechsel hin üblicher Rückgang der Werte beobachtet. In der 52. KW lag die ARE-Konsultationsinzidenz auf einem ähnlich niedrigen Niveau wie in der Vorsaison.</w:t>
      </w:r>
    </w:p>
    <w:p>
      <w:pPr>
        <w:pStyle w:val="NurText"/>
        <w:rPr>
          <w:rFonts w:ascii="Scala Sans OT" w:hAnsi="Scala Sans OT"/>
          <w:lang w:val="de-DE"/>
        </w:rPr>
      </w:pPr>
    </w:p>
    <w:p>
      <w:pPr>
        <w:pStyle w:val="NurText"/>
        <w:numPr>
          <w:ilvl w:val="2"/>
          <w:numId w:val="1"/>
        </w:numPr>
        <w:rPr>
          <w:rFonts w:ascii="Scala Sans OT" w:hAnsi="Scala Sans OT"/>
          <w:b/>
          <w:lang w:val="de-DE"/>
        </w:rPr>
      </w:pPr>
      <w:r>
        <w:rPr>
          <w:rFonts w:ascii="Scala Sans OT" w:hAnsi="Scala Sans OT"/>
          <w:b/>
          <w:lang w:val="de-DE"/>
        </w:rPr>
        <w:t>Virologische Surveillance</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Die Virologische Surveillance akuter respiratorischer Erkrankungen stellt einen der wichtigsten Bausteine des </w:t>
      </w:r>
      <w:proofErr w:type="spellStart"/>
      <w:r>
        <w:rPr>
          <w:rFonts w:ascii="Scala Sans OT" w:hAnsi="Scala Sans OT"/>
          <w:lang w:val="de-DE"/>
        </w:rPr>
        <w:t>Sentinelsystems</w:t>
      </w:r>
      <w:proofErr w:type="spellEnd"/>
      <w:r>
        <w:rPr>
          <w:rFonts w:ascii="Scala Sans OT" w:hAnsi="Scala Sans OT"/>
          <w:lang w:val="de-DE"/>
        </w:rPr>
        <w:t xml:space="preserve"> zur Überwachung akuter Atemwegserkrankungen (ARE) dar. Die über 100 teilnehmenden AGI Praxen sind deutschlandweit repräsentativ verteilt und schicken regelmäßig Proben von ARE Patienten an das RKI (FG17 Influenza und andere respiratorische Viren, Nationales Referenzzentrum), wo die molekulare Testung auf eine Vielzahl respiratorischer Viren einschließlich  SARS-CoV-2, Influenzaviren (A/H3N2, A/H1N1pdm09, B/Vic, B/Yam), saisonale („Erkältungs-“) Coronaviren sowie Respiratorischen </w:t>
      </w:r>
      <w:proofErr w:type="spellStart"/>
      <w:r>
        <w:rPr>
          <w:rFonts w:ascii="Scala Sans OT" w:hAnsi="Scala Sans OT"/>
          <w:lang w:val="de-DE"/>
        </w:rPr>
        <w:t>Synzytialviren</w:t>
      </w:r>
      <w:proofErr w:type="spellEnd"/>
      <w:r>
        <w:rPr>
          <w:rFonts w:ascii="Scala Sans OT" w:hAnsi="Scala Sans OT"/>
          <w:lang w:val="de-DE"/>
        </w:rPr>
        <w:t xml:space="preserve">, Parainfluenzaviren, Metapneumoviren und </w:t>
      </w:r>
      <w:proofErr w:type="spellStart"/>
      <w:r>
        <w:rPr>
          <w:rFonts w:ascii="Scala Sans OT" w:hAnsi="Scala Sans OT"/>
          <w:lang w:val="de-DE"/>
        </w:rPr>
        <w:t>Rhinoviren</w:t>
      </w:r>
      <w:proofErr w:type="spellEnd"/>
      <w:r>
        <w:rPr>
          <w:rFonts w:ascii="Scala Sans OT" w:hAnsi="Scala Sans OT"/>
          <w:lang w:val="de-DE"/>
        </w:rPr>
        <w:t xml:space="preserve"> (HRV) erfolgt. So wird das Spektrum der für akute Atemwegsbeschwerden verantwortlichen Viren umfassend und differenziert dargestellt. </w:t>
      </w:r>
    </w:p>
    <w:p>
      <w:pPr>
        <w:pStyle w:val="NurText"/>
        <w:rPr>
          <w:rFonts w:ascii="Scala Sans OT" w:hAnsi="Scala Sans OT"/>
          <w:lang w:val="de-DE"/>
        </w:rPr>
      </w:pPr>
      <w:r>
        <w:rPr>
          <w:rFonts w:ascii="Scala Sans OT" w:hAnsi="Scala Sans OT"/>
          <w:lang w:val="de-DE"/>
        </w:rPr>
        <w:t xml:space="preserve">Im Vergleich zu den Vorjahren sind die Nachweisquoten aller respiratorischen Viren deutlich reduziert mit zwei Ausnahmen: SARS-CoV-2 und HRV (s. Tabelle und Abbildung). </w:t>
      </w:r>
    </w:p>
    <w:p>
      <w:pPr>
        <w:pStyle w:val="NurText"/>
        <w:spacing w:before="80" w:after="80"/>
        <w:rPr>
          <w:rFonts w:ascii="Scala Sans OT" w:hAnsi="Scala Sans OT"/>
          <w:b/>
          <w:lang w:val="de-DE"/>
        </w:rPr>
      </w:pPr>
    </w:p>
    <w:tbl>
      <w:tblPr>
        <w:tblW w:w="7797" w:type="dxa"/>
        <w:tblCellMar>
          <w:left w:w="0" w:type="dxa"/>
          <w:right w:w="0" w:type="dxa"/>
        </w:tblCellMar>
        <w:tblLook w:val="04A0" w:firstRow="1" w:lastRow="0" w:firstColumn="1" w:lastColumn="0" w:noHBand="0" w:noVBand="1"/>
      </w:tblPr>
      <w:tblGrid>
        <w:gridCol w:w="709"/>
        <w:gridCol w:w="1843"/>
        <w:gridCol w:w="2126"/>
        <w:gridCol w:w="3119"/>
      </w:tblGrid>
      <w:tr>
        <w:trPr>
          <w:trHeight w:val="247"/>
        </w:trPr>
        <w:tc>
          <w:tcPr>
            <w:tcW w:w="709" w:type="dxa"/>
            <w:tcBorders>
              <w:bottom w:val="single" w:sz="8" w:space="0" w:color="auto"/>
              <w:right w:val="single" w:sz="8" w:space="0" w:color="auto"/>
            </w:tcBorders>
            <w:shd w:val="clear" w:color="auto" w:fill="auto"/>
            <w:tcMar>
              <w:top w:w="15" w:type="dxa"/>
              <w:left w:w="53" w:type="dxa"/>
              <w:bottom w:w="0" w:type="dxa"/>
              <w:right w:w="53" w:type="dxa"/>
            </w:tcMar>
            <w:vAlign w:val="center"/>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Woche</w:t>
            </w:r>
          </w:p>
        </w:tc>
        <w:tc>
          <w:tcPr>
            <w:tcW w:w="1843" w:type="dxa"/>
            <w:tcBorders>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center"/>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SARS-CoV-2 positiv</w:t>
            </w:r>
          </w:p>
        </w:tc>
        <w:tc>
          <w:tcPr>
            <w:tcW w:w="2126" w:type="dxa"/>
            <w:tcBorders>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center"/>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Untersuchte Proben</w:t>
            </w:r>
          </w:p>
        </w:tc>
        <w:tc>
          <w:tcPr>
            <w:tcW w:w="3119" w:type="dxa"/>
            <w:tcBorders>
              <w:left w:val="single" w:sz="8" w:space="0" w:color="auto"/>
              <w:bottom w:val="single" w:sz="8" w:space="0" w:color="auto"/>
            </w:tcBorders>
            <w:shd w:val="clear" w:color="auto" w:fill="auto"/>
            <w:tcMar>
              <w:top w:w="15" w:type="dxa"/>
              <w:left w:w="53" w:type="dxa"/>
              <w:bottom w:w="0" w:type="dxa"/>
              <w:right w:w="53" w:type="dxa"/>
            </w:tcMar>
            <w:vAlign w:val="center"/>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SARS-CoV-2 Positivquote [%]</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46</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6</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86</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6%</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b/>
                <w:bCs/>
                <w:color w:val="000000" w:themeColor="text1"/>
                <w:kern w:val="24"/>
              </w:rPr>
              <w:t>47</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2</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90</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2%</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48</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6</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94</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6%</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49</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20</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188</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11%</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50</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28</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247</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11%</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b/>
                <w:bCs/>
                <w:color w:val="000000" w:themeColor="text1"/>
                <w:kern w:val="24"/>
              </w:rPr>
              <w:t>51</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16</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186</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8,6%</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b/>
                <w:bCs/>
                <w:color w:val="000000" w:themeColor="text1"/>
                <w:kern w:val="24"/>
              </w:rPr>
              <w:t>52</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11</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71</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keepNext/>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15,5%</w:t>
            </w:r>
          </w:p>
        </w:tc>
      </w:tr>
    </w:tbl>
    <w:p>
      <w:pPr>
        <w:pStyle w:val="Beschriftung"/>
        <w:rPr>
          <w:rFonts w:ascii="Scala Sans OT" w:hAnsi="Scala Sans OT"/>
          <w:lang w:val="de-DE"/>
        </w:rPr>
      </w:pPr>
      <w:r>
        <w:rPr>
          <w:rFonts w:ascii="Scala Sans OT" w:hAnsi="Scala Sans OT"/>
          <w:lang w:val="de-DE"/>
        </w:rPr>
        <w:t xml:space="preserve">Tabelle </w:t>
      </w:r>
      <w:r>
        <w:rPr>
          <w:rFonts w:ascii="Scala Sans OT" w:hAnsi="Scala Sans OT"/>
        </w:rPr>
        <w:fldChar w:fldCharType="begin"/>
      </w:r>
      <w:r>
        <w:rPr>
          <w:rFonts w:ascii="Scala Sans OT" w:hAnsi="Scala Sans OT"/>
          <w:lang w:val="de-DE"/>
        </w:rPr>
        <w:instrText xml:space="preserve"> SEQ Tabelle \* ARABIC </w:instrText>
      </w:r>
      <w:r>
        <w:rPr>
          <w:rFonts w:ascii="Scala Sans OT" w:hAnsi="Scala Sans OT"/>
        </w:rPr>
        <w:fldChar w:fldCharType="separate"/>
      </w:r>
      <w:r>
        <w:rPr>
          <w:rFonts w:ascii="Scala Sans OT" w:hAnsi="Scala Sans OT"/>
          <w:noProof/>
          <w:lang w:val="de-DE"/>
        </w:rPr>
        <w:t>1</w:t>
      </w:r>
      <w:r>
        <w:rPr>
          <w:rFonts w:ascii="Scala Sans OT" w:hAnsi="Scala Sans OT"/>
        </w:rPr>
        <w:fldChar w:fldCharType="end"/>
      </w:r>
      <w:r>
        <w:rPr>
          <w:rFonts w:ascii="Scala Sans OT" w:hAnsi="Scala Sans OT"/>
          <w:lang w:val="de-DE"/>
        </w:rPr>
        <w:t>: Proben und SARS-CoV-2 Nachweisraten der Virologischen Surveillance (FG 17 / NRZ Influenzaviren)</w:t>
      </w:r>
    </w:p>
    <w:p>
      <w:pPr>
        <w:pStyle w:val="NurText"/>
        <w:keepNext/>
        <w:rPr>
          <w:rFonts w:ascii="Scala Sans OT" w:hAnsi="Scala Sans OT"/>
        </w:rPr>
      </w:pPr>
      <w:r>
        <w:rPr>
          <w:rFonts w:ascii="Scala Sans OT" w:hAnsi="Scala Sans OT"/>
          <w:noProof/>
        </w:rPr>
        <w:drawing>
          <wp:inline distT="0" distB="0" distL="0" distR="0">
            <wp:extent cx="5972810" cy="2115820"/>
            <wp:effectExtent l="0" t="0" r="8890" b="0"/>
            <wp:docPr id="29" name="Diagramm 29">
              <a:extLst xmlns:a="http://schemas.openxmlformats.org/drawingml/2006/main">
                <a:ext uri="{FF2B5EF4-FFF2-40B4-BE49-F238E27FC236}">
                  <a16:creationId xmlns:a16="http://schemas.microsoft.com/office/drawing/2014/main" id="{B7A7FC01-27C9-4D2D-A67D-4E9859166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Beschriftung"/>
        <w:rPr>
          <w:rFonts w:ascii="Scala Sans OT" w:hAnsi="Scala Sans OT"/>
          <w:lang w:val="de-DE"/>
        </w:rPr>
      </w:pPr>
      <w:r>
        <w:rPr>
          <w:rFonts w:ascii="Scala Sans OT" w:hAnsi="Scala Sans OT"/>
          <w:lang w:val="de-DE"/>
        </w:rPr>
        <w:t xml:space="preserve">Abbildung </w:t>
      </w:r>
      <w:r>
        <w:rPr>
          <w:rFonts w:ascii="Scala Sans OT" w:hAnsi="Scala Sans OT"/>
        </w:rPr>
        <w:fldChar w:fldCharType="begin"/>
      </w:r>
      <w:r>
        <w:rPr>
          <w:rFonts w:ascii="Scala Sans OT" w:hAnsi="Scala Sans OT"/>
          <w:lang w:val="de-DE"/>
        </w:rPr>
        <w:instrText xml:space="preserve"> SEQ Abbildung \* ARABIC </w:instrText>
      </w:r>
      <w:r>
        <w:rPr>
          <w:rFonts w:ascii="Scala Sans OT" w:hAnsi="Scala Sans OT"/>
        </w:rPr>
        <w:fldChar w:fldCharType="separate"/>
      </w:r>
      <w:r>
        <w:rPr>
          <w:rFonts w:ascii="Scala Sans OT" w:hAnsi="Scala Sans OT"/>
          <w:noProof/>
          <w:lang w:val="de-DE"/>
        </w:rPr>
        <w:t>4</w:t>
      </w:r>
      <w:r>
        <w:rPr>
          <w:rFonts w:ascii="Scala Sans OT" w:hAnsi="Scala Sans OT"/>
        </w:rPr>
        <w:fldChar w:fldCharType="end"/>
      </w:r>
      <w:r>
        <w:rPr>
          <w:rFonts w:ascii="Scala Sans OT" w:hAnsi="Scala Sans OT"/>
          <w:lang w:val="de-DE"/>
        </w:rPr>
        <w:t xml:space="preserve">: Nachweise ausgewählter respiratorischen Viren, </w:t>
      </w:r>
      <w:proofErr w:type="spellStart"/>
      <w:r>
        <w:rPr>
          <w:rFonts w:ascii="Scala Sans OT" w:hAnsi="Scala Sans OT"/>
          <w:lang w:val="de-DE"/>
        </w:rPr>
        <w:t>Rhinoviren</w:t>
      </w:r>
      <w:proofErr w:type="spellEnd"/>
      <w:r>
        <w:rPr>
          <w:rFonts w:ascii="Scala Sans OT" w:hAnsi="Scala Sans OT"/>
          <w:lang w:val="de-DE"/>
        </w:rPr>
        <w:t xml:space="preserve"> (HRV) und SARS-CoV-2</w:t>
      </w: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Nicht alle AGI-Praxen haben im vergangenen Jahr regelmäßig eingesendet. Um die Repräsentativität des Sentinels weiter zu erhöhen, erfolgt derzeit die Erweiterung des Sentinels.</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Ungeachtet der Limitationen spiegelt die virologische Surveillance sehr gut die Zirkulation respiratorischer Viren wider. Die Lockdowns, Schutz- und Hygienemaßnahmen haben zur Reduktion der Zirkulation aller untersuchten respiratorischen Viren geführt mit Ausnahme von SARS-CoV-2 und </w:t>
      </w:r>
      <w:proofErr w:type="spellStart"/>
      <w:r>
        <w:rPr>
          <w:rFonts w:ascii="Scala Sans OT" w:hAnsi="Scala Sans OT"/>
          <w:lang w:val="de-DE"/>
        </w:rPr>
        <w:t>Rhinoviren</w:t>
      </w:r>
      <w:proofErr w:type="spellEnd"/>
      <w:r>
        <w:rPr>
          <w:rFonts w:ascii="Scala Sans OT" w:hAnsi="Scala Sans OT"/>
          <w:lang w:val="de-DE"/>
        </w:rPr>
        <w:t xml:space="preserve">. Die Positivraten des Nachweises von SARS-CoV-2 liegen im Bereich der aus anderen Systemen für Deutschland berichteten Positivraten. Über den Jahreswechsel sind weniger Proben zur Untersuchung eingetroffen, sodass die Bewertung der gegenwärtigen Situation limitiert ist. Die Nachweisraten von </w:t>
      </w:r>
      <w:proofErr w:type="spellStart"/>
      <w:r>
        <w:rPr>
          <w:rFonts w:ascii="Scala Sans OT" w:hAnsi="Scala Sans OT"/>
          <w:lang w:val="de-DE"/>
        </w:rPr>
        <w:t>Rhinoviren</w:t>
      </w:r>
      <w:proofErr w:type="spellEnd"/>
      <w:r>
        <w:rPr>
          <w:rFonts w:ascii="Scala Sans OT" w:hAnsi="Scala Sans OT"/>
          <w:lang w:val="de-DE"/>
        </w:rPr>
        <w:t xml:space="preserve"> und SARS-CoV-2 sind jedoch nicht zurückgegangen, weshalb wir die Lage bezüglich SARS-CoV-2 weiterhin als ernst einschätzen.</w:t>
      </w:r>
    </w:p>
    <w:p>
      <w:pPr>
        <w:pStyle w:val="NurText"/>
        <w:rPr>
          <w:rFonts w:ascii="Scala Sans OT" w:hAnsi="Scala Sans OT"/>
          <w:lang w:val="de-DE"/>
        </w:rPr>
      </w:pPr>
    </w:p>
    <w:p>
      <w:pPr>
        <w:pStyle w:val="berschrift2"/>
        <w:numPr>
          <w:ilvl w:val="0"/>
          <w:numId w:val="5"/>
        </w:numPr>
      </w:pPr>
      <w:bookmarkStart w:id="6" w:name="_Toc60668068"/>
      <w:r>
        <w:t xml:space="preserve">ICD-10 Code basierte </w:t>
      </w:r>
      <w:proofErr w:type="spellStart"/>
      <w:r>
        <w:t>syndromische</w:t>
      </w:r>
      <w:proofErr w:type="spellEnd"/>
      <w:r>
        <w:t xml:space="preserve"> Surveillance schwerer akute Atemwegserkrankungen (ICOSARI)</w:t>
      </w:r>
      <w:bookmarkEnd w:id="6"/>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Im Rahmen eines Kooperationsvertrags werden Routinedaten zu schweren akuten respiratorischen Infektionen (SARI) aus ca. 70 Krankenhäusern an das RKI gesendet und wöchentlich nach Datum der Krankenhausaufnahme, nach Altersgruppen sowie nach Anteil an COVID-19-Diagnosen ausgewertet. </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Aufgrund der Verfügbarkeit der Daten wird für die zeitnahe wöchentliche Berichterstattung eine Untergruppe der Patienten betrachtet, die nach spätestens einer Woche Krankenhausaufenthalt wieder entlassen wurden. Es kann mit einem Verzug von 2 Wochen verlässlich über die Anzahl der neu aufgenommenen Patienten berichtet werden. Aktuelle Daten zur 52. KW 2020 stehen ab dem 5.1.2021 zur Verfügung. Regionale Aussagen sind nicht möglich. Im Rahmen der </w:t>
      </w:r>
      <w:proofErr w:type="spellStart"/>
      <w:r>
        <w:rPr>
          <w:rFonts w:ascii="Scala Sans OT" w:hAnsi="Scala Sans OT"/>
          <w:lang w:val="de-DE"/>
        </w:rPr>
        <w:t>syndromischen</w:t>
      </w:r>
      <w:proofErr w:type="spellEnd"/>
      <w:r>
        <w:rPr>
          <w:rFonts w:ascii="Scala Sans OT" w:hAnsi="Scala Sans OT"/>
          <w:lang w:val="de-DE"/>
        </w:rPr>
        <w:t xml:space="preserve"> Surveillance werden nur COVID-19-Fälle mit einer respiratorischen Diagnose erfasst. </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Die Anzahl der neu aufgenommenen SARI-Fälle ist seit der 44. KW 2020 höher als in den Vorjahren, bedingt durch eine deutlich höhere Anzahl an SARI-Fällen im Alter ab 35 Jahren. In den letzten Wochen wurden aus den Altersgruppen ab 35 Jahre wöchentlich etwa so viele Fälle wegen einer SARI hospitalisiert wie sonst zum Höhepunkt der Grippewelle. Seit der 45. KW 2020 wurden wöchentlich mehr als die Hälfte aller SARI-Fälle mit COVID-19 hospitalisiert. Vorläufige Daten zur 52. KW 2020 deuten auf gleichbleibend hohe SARI-Fallzahlen hin sowie auf einen anhaltend hohen Anteil an COVID-19-Patienten unter den SARI-Fällen von über 60%.</w:t>
      </w:r>
    </w:p>
    <w:p>
      <w:pPr>
        <w:spacing w:line="240" w:lineRule="auto"/>
        <w:ind w:left="0"/>
        <w:rPr>
          <w:rFonts w:ascii="Scala Sans OT" w:eastAsiaTheme="minorHAnsi" w:hAnsi="Scala Sans OT"/>
          <w:sz w:val="22"/>
          <w:szCs w:val="21"/>
          <w:lang w:eastAsia="en-US"/>
        </w:rPr>
      </w:pPr>
      <w:r>
        <w:rPr>
          <w:rFonts w:ascii="Scala Sans OT" w:hAnsi="Scala Sans OT"/>
        </w:rPr>
        <w:br w:type="page"/>
      </w:r>
    </w:p>
    <w:p>
      <w:pPr>
        <w:pStyle w:val="berschrift2"/>
        <w:numPr>
          <w:ilvl w:val="0"/>
          <w:numId w:val="5"/>
        </w:numPr>
      </w:pPr>
      <w:bookmarkStart w:id="7" w:name="_Toc60668069"/>
      <w:r>
        <w:t>DIVI-Intensivregister</w:t>
      </w:r>
      <w:bookmarkEnd w:id="7"/>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 xml:space="preserve">Datenlage/Informationen zur Methodik: </w:t>
      </w:r>
      <w:r>
        <w:rPr>
          <w:rFonts w:ascii="Scala Sans OT" w:hAnsi="Scala Sans OT"/>
          <w:lang w:val="de-DE"/>
        </w:rPr>
        <w:t>Täglich erfasst das DIVI-Intensivregister die freien und belegten Behandlungskapazitäten in der Intensivmedizin von etwa 1.300 Akut-Krankenhäusern in Deutschland. Im Rahmen der SARS-CoV-2-Pandemie werden zudem auch aktuelle Fallzahlen intensivmedizinisch behandelter COVID-19-Patient*innen aufgezeichnet. Das Register ermöglicht in der Pandemie, und darüber hinaus, Engpässe in der intensivmedizinischen Versorgung im regionalen und zeitlichen Vergleich zu erkennen. Damit schafft das DIVI-Intensivregister eine wertvolle Grundlage zur Reaktion und zur datengestützten Handlungssteuerung in Echtzeit seit April 2020.</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basiert auf individuellen täglichen Meldungen des medizinischen Fachpersonals, ohne Meldeverzug über die Feiertage.</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 (Datenstand 04-01-2021):</w:t>
      </w:r>
      <w:r>
        <w:rPr>
          <w:rFonts w:ascii="Scala Sans OT" w:hAnsi="Scala Sans OT"/>
          <w:lang w:val="de-DE"/>
        </w:rPr>
        <w:t xml:space="preserve"> Der Anteil der COVID-19 PatientInnen an der Gesamtzahl der Intensivbetten übersteigt in bereits acht Bundesländern die kritische Grenze von 25%, in vier BL liegt sie sogar über 30%. Der Anteil der freien Betten an Gesamtzahl der Intensivbetten unterschreitet inzwischen in 10 BL die ebenfalls kritische Grenze von 15%, in Berlin beträgt dieser Anteil bereits weniger als 10%. Seit Anfang November übersteigt die Anzahl aktuell intensivpflichtiger COVID-PatientInnen die Maximalwerte (ca. 3000) aus der 1. Welle und steigt seither kontinuierlich weiter an mit einem aktuellen Wert von 5.729 Fällen (davon ca. 80% beatmet, invasiv und nicht invasiv). Auch über Feiertage stiegen die Zahlen weiterhin an mit alleine +840 zusätzlichen Belegungen über die letzten 2 Wochen. Zusätzlich nehmen die noch verfügbaren Kapazitäten zur invasiven Beatmung kontinuierlich ab. Mehr als 70% der Intensivbereiche geben aktuell an, begrenzt oder vollständig ausgelastet zu sein. Als wichtigster Grund für eingeschränkte Betriebssituation wird Personalmangel angegeben. </w:t>
      </w:r>
    </w:p>
    <w:p>
      <w:pPr>
        <w:pStyle w:val="NurText"/>
        <w:rPr>
          <w:rFonts w:ascii="Scala Sans OT" w:hAnsi="Scala Sans OT"/>
          <w:lang w:val="de-DE"/>
        </w:rPr>
      </w:pPr>
    </w:p>
    <w:p>
      <w:pPr>
        <w:pStyle w:val="berschrift2"/>
        <w:numPr>
          <w:ilvl w:val="0"/>
          <w:numId w:val="5"/>
        </w:numPr>
        <w:rPr>
          <w:rFonts w:ascii="Scala Sans OT" w:hAnsi="Scala Sans OT"/>
        </w:rPr>
      </w:pPr>
      <w:bookmarkStart w:id="8" w:name="_Toc60668070"/>
      <w:r>
        <w:rPr>
          <w:rFonts w:ascii="Scala Sans OT" w:hAnsi="Scala Sans OT"/>
        </w:rPr>
        <w:t>Molekulare Analyse von SARS-CoV-2</w:t>
      </w:r>
      <w:bookmarkEnd w:id="8"/>
    </w:p>
    <w:p/>
    <w:p>
      <w:pPr>
        <w:pStyle w:val="NurText"/>
        <w:rPr>
          <w:rFonts w:ascii="Scala Sans OT" w:hAnsi="Scala Sans OT"/>
          <w:lang w:val="de-DE"/>
        </w:rPr>
      </w:pPr>
      <w:r>
        <w:rPr>
          <w:rFonts w:ascii="Scala Sans OT" w:hAnsi="Scala Sans OT"/>
          <w:lang w:val="de-DE"/>
        </w:rPr>
        <w:t xml:space="preserve">Datenlage/Informationen zur Methodik: Das RKI sequenziert SARS-CoV-2-positive Isolate aus Ausbruchsanalysen und von Einsendern des Labornetzwerks AGI Influenza sowie der SARS-CoV-2-IMS. Seit Mitte Dezember konnte die Anzahl der Genomsequenzierungen am RKI deutlich gesteigert werden und mehr als 150 weitere Isolate analysiert werden. Zudem werden öffentlich zugängliche Daten z.B. von </w:t>
      </w:r>
      <w:proofErr w:type="spellStart"/>
      <w:r>
        <w:rPr>
          <w:rFonts w:ascii="Scala Sans OT" w:hAnsi="Scala Sans OT"/>
          <w:lang w:val="de-DE"/>
        </w:rPr>
        <w:t>Gisaid</w:t>
      </w:r>
      <w:proofErr w:type="spellEnd"/>
      <w:r>
        <w:rPr>
          <w:rFonts w:ascii="Scala Sans OT" w:hAnsi="Scala Sans OT"/>
          <w:lang w:val="de-DE"/>
        </w:rPr>
        <w:t xml:space="preserve"> oder des </w:t>
      </w:r>
      <w:proofErr w:type="spellStart"/>
      <w:r>
        <w:rPr>
          <w:rFonts w:ascii="Scala Sans OT" w:hAnsi="Scala Sans OT"/>
          <w:lang w:val="de-DE"/>
        </w:rPr>
        <w:t>Konsiliarlabors</w:t>
      </w:r>
      <w:proofErr w:type="spellEnd"/>
      <w:r>
        <w:rPr>
          <w:rFonts w:ascii="Scala Sans OT" w:hAnsi="Scala Sans OT"/>
          <w:lang w:val="de-DE"/>
        </w:rPr>
        <w:t xml:space="preserve"> bei der Analyse berücksichtigt.</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t>Limitationen: Die Auswahl verfügbarer SARS-CoV-2 Sequenzen ist weder repräsentativ noch für eine Beurteilung der deutschen SARS-CoV-2 Population ausreichend.</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t>Bewertung: Im Rahmen der wöchentlich im Rahmen der SARS-CoV-2-IMS analysierten Isolate konnte ein Isolat der Linie B.1.1.7 (UK-Variante) zugeordnet werden. Das Isolat stammt aus NRW und wurde am 07.12.2020 isoliert. Nach derzeitigem Wissenstand zeichnet sich diese Linie durch vermutlich deutlich erhöhte Übertragbarkeit aus und wird für den aktuellen starken Anstieg der Inzidenz in UK verantwortlich gemacht. In Deutschland sind derzeit 3 Fälle nachweislich bekannt (Ba-</w:t>
      </w:r>
      <w:proofErr w:type="spellStart"/>
      <w:r>
        <w:rPr>
          <w:rFonts w:ascii="Scala Sans OT" w:hAnsi="Scala Sans OT"/>
          <w:lang w:val="de-DE"/>
        </w:rPr>
        <w:t>Wü</w:t>
      </w:r>
      <w:proofErr w:type="spellEnd"/>
      <w:r>
        <w:rPr>
          <w:rFonts w:ascii="Scala Sans OT" w:hAnsi="Scala Sans OT"/>
          <w:lang w:val="de-DE"/>
        </w:rPr>
        <w:t xml:space="preserve"> [Presseberichte], Niedersachsen [Email der MHH], NRW [SARS-CoV-2-IMS]), mangelnde Sequenzdaten lassen keine Abschätzung der B.1.1.7 Verbreitung in Deutschland zu. </w:t>
      </w:r>
    </w:p>
    <w:p>
      <w:pPr>
        <w:pStyle w:val="NurText"/>
        <w:rPr>
          <w:rFonts w:ascii="Scala Sans OT" w:hAnsi="Scala Sans OT"/>
          <w:lang w:val="de-DE"/>
        </w:rPr>
      </w:pPr>
      <w:r>
        <w:rPr>
          <w:rFonts w:ascii="Scala Sans OT" w:hAnsi="Scala Sans OT"/>
          <w:lang w:val="de-DE"/>
        </w:rPr>
        <w:t>Eine intensivierte molekulare Surveillance (Steigerung der kontinuierlichen Genomsequenzierungen) u.a. im Hinblick auf eine mögliche Verbreitung dieser und anderer neu entstehender Virusvarianten sind nachdrücklich angeraten.</w:t>
      </w:r>
    </w:p>
    <w:p>
      <w:pPr>
        <w:spacing w:line="240" w:lineRule="auto"/>
        <w:ind w:left="0"/>
        <w:rPr>
          <w:rFonts w:ascii="Scala Sans OT" w:eastAsiaTheme="minorHAnsi" w:hAnsi="Scala Sans OT"/>
          <w:sz w:val="22"/>
          <w:szCs w:val="21"/>
          <w:lang w:eastAsia="en-US"/>
        </w:rPr>
      </w:pPr>
      <w:r>
        <w:rPr>
          <w:rFonts w:ascii="Scala Sans OT" w:hAnsi="Scala Sans OT"/>
        </w:rPr>
        <w:br w:type="page"/>
      </w:r>
    </w:p>
    <w:p>
      <w:pPr>
        <w:pStyle w:val="NurText"/>
        <w:rPr>
          <w:rFonts w:ascii="Scala Sans OT" w:hAnsi="Scala Sans OT"/>
          <w:lang w:val="de-DE"/>
        </w:rPr>
      </w:pPr>
    </w:p>
    <w:p>
      <w:pPr>
        <w:pStyle w:val="berschrift2"/>
        <w:numPr>
          <w:ilvl w:val="0"/>
          <w:numId w:val="5"/>
        </w:numPr>
        <w:rPr>
          <w:rFonts w:ascii="Scala Sans OT" w:hAnsi="Scala Sans OT"/>
        </w:rPr>
      </w:pPr>
      <w:bookmarkStart w:id="9" w:name="_Toc60668071"/>
      <w:r>
        <w:rPr>
          <w:rFonts w:ascii="Scala Sans OT" w:hAnsi="Scala Sans OT"/>
        </w:rPr>
        <w:t>Mobilitätsdaten</w:t>
      </w:r>
      <w:bookmarkEnd w:id="9"/>
    </w:p>
    <w:p>
      <w:pPr>
        <w:pStyle w:val="NurText"/>
        <w:rPr>
          <w:rFonts w:ascii="Scala Sans OT" w:hAnsi="Scala Sans OT"/>
          <w:lang w:val="de-DE"/>
        </w:rPr>
      </w:pPr>
    </w:p>
    <w:p>
      <w:pPr>
        <w:pStyle w:val="NurText"/>
        <w:rPr>
          <w:rFonts w:ascii="Scala Sans OT" w:hAnsi="Scala Sans OT"/>
          <w:b/>
          <w:lang w:val="de-DE"/>
        </w:rPr>
      </w:pPr>
      <w:r>
        <w:rPr>
          <w:rFonts w:ascii="Scala Sans OT" w:hAnsi="Scala Sans OT"/>
          <w:b/>
          <w:lang w:val="de-DE"/>
        </w:rPr>
        <w:t xml:space="preserve">Datenlage/Informationen zur Methodik: </w:t>
      </w:r>
      <w:r>
        <w:rPr>
          <w:rFonts w:ascii="Scala Sans OT" w:hAnsi="Scala Sans OT"/>
          <w:lang w:val="de-DE"/>
        </w:rPr>
        <w:t xml:space="preserve">Das RKI analysiert seit Anfang April die </w:t>
      </w:r>
      <w:r>
        <w:rPr>
          <w:rFonts w:ascii="Scala Sans OT" w:hAnsi="Scala Sans OT"/>
          <w:lang w:val="de-DE"/>
        </w:rPr>
        <w:t>Bewegungsströmen in Deutschland auf Basis von aggregierten Mobilfunkdaten</w:t>
      </w:r>
      <w:r>
        <w:rPr>
          <w:rFonts w:ascii="Scala Sans OT" w:hAnsi="Scala Sans OT"/>
          <w:lang w:val="de-DE"/>
        </w:rPr>
        <w:t>.</w:t>
      </w:r>
      <w:r>
        <w:rPr>
          <w:rFonts w:ascii="Arial" w:hAnsi="Arial" w:cs="Arial"/>
          <w:color w:val="323232"/>
          <w:sz w:val="31"/>
          <w:szCs w:val="31"/>
          <w:shd w:val="clear" w:color="auto" w:fill="FFFFFF"/>
          <w:lang w:val="de-DE"/>
        </w:rPr>
        <w:t xml:space="preserve"> </w:t>
      </w:r>
    </w:p>
    <w:p>
      <w:pPr>
        <w:pStyle w:val="NurText"/>
        <w:rPr>
          <w:rFonts w:ascii="Scala Sans OT" w:hAnsi="Scala Sans OT"/>
          <w:b/>
          <w:lang w:val="de-DE"/>
        </w:rPr>
      </w:pPr>
    </w:p>
    <w:p>
      <w:pPr>
        <w:pStyle w:val="NurText"/>
        <w:rPr>
          <w:rFonts w:ascii="Scala Sans OT" w:hAnsi="Scala Sans OT"/>
          <w:lang w:val="de-DE"/>
        </w:rPr>
      </w:pPr>
      <w:r>
        <w:rPr>
          <w:rFonts w:ascii="Scala Sans OT" w:hAnsi="Scala Sans OT"/>
          <w:b/>
          <w:lang w:val="de-DE"/>
        </w:rPr>
        <w:t xml:space="preserve">Bewertung: </w:t>
      </w:r>
      <w:r>
        <w:rPr>
          <w:rFonts w:ascii="Scala Sans OT" w:hAnsi="Scala Sans OT"/>
          <w:lang w:val="de-DE"/>
        </w:rPr>
        <w:t>Insgesamt befindet sich derzeit die Mobilität auf dem Niveau des Höhepunkts des 1. Lockdowns (etwa -40% unter dem Jahresmittel 2019).</w:t>
      </w:r>
    </w:p>
    <w:p>
      <w:pPr>
        <w:pStyle w:val="NurText"/>
        <w:rPr>
          <w:rFonts w:ascii="Scala Sans OT" w:hAnsi="Scala Sans OT"/>
          <w:lang w:val="de-DE"/>
        </w:rPr>
      </w:pPr>
      <w:r>
        <w:rPr>
          <w:rFonts w:ascii="Scala Sans OT" w:hAnsi="Scala Sans OT"/>
          <w:lang w:val="de-DE"/>
        </w:rPr>
        <w:t>Allerdings nimmt die Mobilität zu Jahresbeginn typischer-weise deutlich zu, um etwa 20%.</w:t>
      </w:r>
    </w:p>
    <w:p>
      <w:pPr>
        <w:pStyle w:val="NurText"/>
        <w:rPr>
          <w:rFonts w:ascii="Scala Sans OT" w:hAnsi="Scala Sans OT"/>
          <w:lang w:val="de-DE"/>
        </w:rPr>
      </w:pPr>
      <w:r>
        <w:rPr>
          <w:rFonts w:ascii="Scala Sans OT" w:hAnsi="Scala Sans OT"/>
          <w:lang w:val="de-DE"/>
        </w:rPr>
        <w:t xml:space="preserve">Wir erwarten daher eine Zunahme der Mobilität im Januar 2021, bis auf etwa -20% unter dem Normal-niveau, bei sonst gleichbleibenden Rahmenbedingungen (siehe </w:t>
      </w:r>
      <w:r>
        <w:rPr>
          <w:rFonts w:ascii="Scala Sans OT" w:hAnsi="Scala Sans OT"/>
          <w:lang w:val="de-DE"/>
        </w:rPr>
        <w:fldChar w:fldCharType="begin"/>
      </w:r>
      <w:r>
        <w:rPr>
          <w:rFonts w:ascii="Scala Sans OT" w:hAnsi="Scala Sans OT"/>
          <w:lang w:val="de-DE"/>
        </w:rPr>
        <w:instrText xml:space="preserve"> REF _Ref60664738 \h </w:instrText>
      </w:r>
      <w:r>
        <w:rPr>
          <w:rFonts w:ascii="Scala Sans OT" w:hAnsi="Scala Sans OT"/>
          <w:lang w:val="de-DE"/>
        </w:rPr>
      </w:r>
      <w:r>
        <w:rPr>
          <w:rFonts w:ascii="Scala Sans OT" w:hAnsi="Scala Sans OT"/>
          <w:lang w:val="de-DE"/>
        </w:rPr>
        <w:fldChar w:fldCharType="separate"/>
      </w:r>
      <w:r>
        <w:rPr>
          <w:lang w:val="de-DE"/>
        </w:rPr>
        <w:t xml:space="preserve">Abbildung </w:t>
      </w:r>
      <w:r>
        <w:rPr>
          <w:noProof/>
          <w:lang w:val="de-DE"/>
        </w:rPr>
        <w:t>5</w:t>
      </w:r>
      <w:r>
        <w:rPr>
          <w:rFonts w:ascii="Scala Sans OT" w:hAnsi="Scala Sans OT"/>
          <w:lang w:val="de-DE"/>
        </w:rPr>
        <w:fldChar w:fldCharType="end"/>
      </w:r>
      <w:r>
        <w:rPr>
          <w:rFonts w:ascii="Scala Sans OT" w:hAnsi="Scala Sans OT"/>
          <w:lang w:val="de-DE"/>
        </w:rPr>
        <w:t xml:space="preserve">). Abbildung 6 zeigt deutlich, wie die Mobilität ab dem Lockdown am 16.12.2020 abgenommen hat. </w:t>
      </w:r>
    </w:p>
    <w:p>
      <w:pPr>
        <w:pStyle w:val="NurText"/>
        <w:rPr>
          <w:rFonts w:ascii="Scala Sans OT" w:hAnsi="Scala Sans OT"/>
          <w:b/>
          <w:lang w:val="de-DE"/>
        </w:rPr>
      </w:pPr>
    </w:p>
    <w:p>
      <w:pPr>
        <w:pStyle w:val="NurText"/>
        <w:keepNext/>
      </w:pPr>
      <w:r>
        <w:rPr>
          <w:rFonts w:ascii="Scala Sans OT" w:hAnsi="Scala Sans OT"/>
          <w:noProof/>
          <w:lang w:val="de-DE"/>
        </w:rPr>
        <w:drawing>
          <wp:inline distT="0" distB="0" distL="0" distR="0">
            <wp:extent cx="4010025" cy="2357603"/>
            <wp:effectExtent l="0" t="0" r="0"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1294" cy="2370108"/>
                    </a:xfrm>
                    <a:prstGeom prst="rect">
                      <a:avLst/>
                    </a:prstGeom>
                    <a:noFill/>
                  </pic:spPr>
                </pic:pic>
              </a:graphicData>
            </a:graphic>
          </wp:inline>
        </w:drawing>
      </w:r>
    </w:p>
    <w:p>
      <w:pPr>
        <w:pStyle w:val="Beschriftung"/>
        <w:rPr>
          <w:rFonts w:ascii="Scala Sans OT" w:hAnsi="Scala Sans OT"/>
          <w:lang w:val="de-DE"/>
        </w:rPr>
      </w:pPr>
      <w:bookmarkStart w:id="10" w:name="_Ref60664738"/>
      <w:r>
        <w:rPr>
          <w:lang w:val="de-DE"/>
        </w:rPr>
        <w:t xml:space="preserve">Abbildung </w:t>
      </w:r>
      <w:r>
        <w:fldChar w:fldCharType="begin"/>
      </w:r>
      <w:r>
        <w:rPr>
          <w:lang w:val="de-DE"/>
        </w:rPr>
        <w:instrText xml:space="preserve"> SEQ Abbildung \* ARABIC </w:instrText>
      </w:r>
      <w:r>
        <w:fldChar w:fldCharType="separate"/>
      </w:r>
      <w:r>
        <w:rPr>
          <w:noProof/>
          <w:lang w:val="de-DE"/>
        </w:rPr>
        <w:t>5</w:t>
      </w:r>
      <w:r>
        <w:fldChar w:fldCharType="end"/>
      </w:r>
      <w:bookmarkEnd w:id="10"/>
      <w:r>
        <w:rPr>
          <w:lang w:val="de-DE"/>
        </w:rPr>
        <w:t>: Vergleich der Mobilität Frühjahr/Dezember 2020</w:t>
      </w:r>
    </w:p>
    <w:p>
      <w:pPr>
        <w:pStyle w:val="NurText"/>
        <w:keepNext/>
      </w:pPr>
      <w:r>
        <w:rPr>
          <w:noProof/>
        </w:rPr>
        <w:drawing>
          <wp:inline distT="0" distB="0" distL="0" distR="0">
            <wp:extent cx="4829175" cy="2612178"/>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6590" cy="2616189"/>
                    </a:xfrm>
                    <a:prstGeom prst="rect">
                      <a:avLst/>
                    </a:prstGeom>
                  </pic:spPr>
                </pic:pic>
              </a:graphicData>
            </a:graphic>
          </wp:inline>
        </w:drawing>
      </w:r>
    </w:p>
    <w:p>
      <w:pPr>
        <w:pStyle w:val="Beschriftung"/>
        <w:rPr>
          <w:lang w:val="de-DE"/>
        </w:rPr>
      </w:pPr>
      <w:r>
        <w:rPr>
          <w:lang w:val="de-DE"/>
        </w:rPr>
        <w:t xml:space="preserve">Abbildung </w:t>
      </w:r>
      <w:r>
        <w:fldChar w:fldCharType="begin"/>
      </w:r>
      <w:r>
        <w:rPr>
          <w:lang w:val="de-DE"/>
        </w:rPr>
        <w:instrText xml:space="preserve"> SEQ Abbildung \* ARABIC </w:instrText>
      </w:r>
      <w:r>
        <w:fldChar w:fldCharType="separate"/>
      </w:r>
      <w:r>
        <w:rPr>
          <w:noProof/>
          <w:lang w:val="de-DE"/>
        </w:rPr>
        <w:t>6</w:t>
      </w:r>
      <w:r>
        <w:fldChar w:fldCharType="end"/>
      </w:r>
      <w:r>
        <w:rPr>
          <w:lang w:val="de-DE"/>
        </w:rPr>
        <w:t>: Deutschlandweite Mobilität im Dezember 2020</w:t>
      </w:r>
    </w:p>
    <w:p>
      <w:pPr>
        <w:spacing w:line="240" w:lineRule="auto"/>
        <w:rPr>
          <w:rFonts w:ascii="Scala Sans OT" w:eastAsiaTheme="minorHAnsi" w:hAnsi="Scala Sans OT"/>
          <w:sz w:val="22"/>
          <w:szCs w:val="22"/>
          <w:lang w:eastAsia="en-US"/>
        </w:rPr>
      </w:pPr>
      <w:r>
        <w:rPr>
          <w:rFonts w:ascii="Scala Sans OT" w:eastAsiaTheme="minorHAnsi" w:hAnsi="Scala Sans OT"/>
          <w:sz w:val="22"/>
          <w:szCs w:val="22"/>
          <w:lang w:eastAsia="en-US"/>
        </w:rPr>
        <w:t>Im Dezember 2020 ist eine erhöhte Reise-Mobilität (Bewegung zwischen Landkreisen) in vielen typischen Reiseregionen erkennbar: Mecklenburgische Seenplatte, Ostsee, Harz, Allgäu etc.</w:t>
      </w:r>
      <w:bookmarkStart w:id="11" w:name="_GoBack"/>
      <w:bookmarkEnd w:id="11"/>
      <w:r>
        <w:rPr>
          <w:rFonts w:ascii="Scala Sans OT" w:eastAsiaTheme="minorHAnsi" w:hAnsi="Scala Sans OT"/>
          <w:sz w:val="22"/>
          <w:szCs w:val="22"/>
          <w:lang w:eastAsia="en-US"/>
        </w:rPr>
        <w:t xml:space="preserve">) (siehe </w:t>
      </w:r>
      <w:r>
        <w:rPr>
          <w:rFonts w:ascii="Scala Sans OT" w:eastAsiaTheme="minorHAnsi" w:hAnsi="Scala Sans OT"/>
          <w:sz w:val="22"/>
          <w:szCs w:val="22"/>
          <w:lang w:eastAsia="en-US"/>
        </w:rPr>
        <w:fldChar w:fldCharType="begin"/>
      </w:r>
      <w:r>
        <w:rPr>
          <w:rFonts w:ascii="Scala Sans OT" w:eastAsiaTheme="minorHAnsi" w:hAnsi="Scala Sans OT"/>
          <w:sz w:val="22"/>
          <w:szCs w:val="22"/>
          <w:lang w:eastAsia="en-US"/>
        </w:rPr>
        <w:instrText xml:space="preserve"> REF _Ref60665029 \h </w:instrText>
      </w:r>
      <w:r>
        <w:rPr>
          <w:rFonts w:ascii="Scala Sans OT" w:eastAsiaTheme="minorHAnsi" w:hAnsi="Scala Sans OT"/>
          <w:sz w:val="22"/>
          <w:szCs w:val="22"/>
          <w:lang w:eastAsia="en-US"/>
        </w:rPr>
      </w:r>
      <w:r>
        <w:rPr>
          <w:rFonts w:ascii="Scala Sans OT" w:eastAsiaTheme="minorHAnsi" w:hAnsi="Scala Sans OT"/>
          <w:sz w:val="22"/>
          <w:szCs w:val="22"/>
          <w:lang w:eastAsia="en-US"/>
        </w:rPr>
        <w:instrText xml:space="preserve"> \* MERGEFORMAT </w:instrText>
      </w:r>
      <w:r>
        <w:rPr>
          <w:rFonts w:ascii="Scala Sans OT" w:eastAsiaTheme="minorHAnsi" w:hAnsi="Scala Sans OT"/>
          <w:sz w:val="22"/>
          <w:szCs w:val="22"/>
          <w:lang w:eastAsia="en-US"/>
        </w:rPr>
        <w:fldChar w:fldCharType="separate"/>
      </w:r>
      <w:r>
        <w:rPr>
          <w:rFonts w:ascii="Scala Sans OT" w:hAnsi="Scala Sans OT"/>
          <w:sz w:val="22"/>
          <w:szCs w:val="22"/>
        </w:rPr>
        <w:t xml:space="preserve">Abbildung </w:t>
      </w:r>
      <w:r>
        <w:rPr>
          <w:rFonts w:ascii="Scala Sans OT" w:hAnsi="Scala Sans OT"/>
          <w:noProof/>
          <w:sz w:val="22"/>
          <w:szCs w:val="22"/>
        </w:rPr>
        <w:t>7</w:t>
      </w:r>
      <w:r>
        <w:rPr>
          <w:rFonts w:ascii="Scala Sans OT" w:eastAsiaTheme="minorHAnsi" w:hAnsi="Scala Sans OT"/>
          <w:sz w:val="22"/>
          <w:szCs w:val="22"/>
          <w:lang w:eastAsia="en-US"/>
        </w:rPr>
        <w:fldChar w:fldCharType="end"/>
      </w:r>
      <w:r>
        <w:rPr>
          <w:rFonts w:ascii="Scala Sans OT" w:eastAsiaTheme="minorHAnsi" w:hAnsi="Scala Sans OT"/>
          <w:sz w:val="22"/>
          <w:szCs w:val="22"/>
          <w:lang w:eastAsia="en-US"/>
        </w:rPr>
        <w:t>).</w:t>
      </w:r>
    </w:p>
    <w:p>
      <w:pPr>
        <w:keepNext/>
      </w:pPr>
      <w:r>
        <w:rPr>
          <w:noProof/>
        </w:rPr>
        <w:drawing>
          <wp:inline distT="0" distB="0" distL="0" distR="0">
            <wp:extent cx="7079586" cy="3629025"/>
            <wp:effectExtent l="0" t="0" r="762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6"/>
                    <a:stretch/>
                  </pic:blipFill>
                  <pic:spPr bwMode="auto">
                    <a:xfrm>
                      <a:off x="0" y="0"/>
                      <a:ext cx="7083968" cy="3631271"/>
                    </a:xfrm>
                    <a:prstGeom prst="rect">
                      <a:avLst/>
                    </a:prstGeom>
                    <a:ln>
                      <a:noFill/>
                    </a:ln>
                    <a:extLst>
                      <a:ext uri="{53640926-AAD7-44D8-BBD7-CCE9431645EC}">
                        <a14:shadowObscured xmlns:a14="http://schemas.microsoft.com/office/drawing/2010/main"/>
                      </a:ext>
                    </a:extLst>
                  </pic:spPr>
                </pic:pic>
              </a:graphicData>
            </a:graphic>
          </wp:inline>
        </w:drawing>
      </w:r>
    </w:p>
    <w:p>
      <w:pPr>
        <w:pStyle w:val="Beschriftung"/>
      </w:pPr>
      <w:bookmarkStart w:id="12" w:name="_Ref60665029"/>
      <w:proofErr w:type="spellStart"/>
      <w:r>
        <w:t>Abbildung</w:t>
      </w:r>
      <w:proofErr w:type="spellEnd"/>
      <w:r>
        <w:t xml:space="preserve"> </w:t>
      </w:r>
      <w:r>
        <w:fldChar w:fldCharType="begin"/>
      </w:r>
      <w:r>
        <w:instrText xml:space="preserve"> SEQ Abbildung \* ARABIC </w:instrText>
      </w:r>
      <w:r>
        <w:fldChar w:fldCharType="separate"/>
      </w:r>
      <w:r>
        <w:rPr>
          <w:noProof/>
        </w:rPr>
        <w:t>7</w:t>
      </w:r>
      <w:r>
        <w:fldChar w:fldCharType="end"/>
      </w:r>
      <w:bookmarkEnd w:id="12"/>
      <w:r>
        <w:t xml:space="preserve">: </w:t>
      </w:r>
      <w:proofErr w:type="spellStart"/>
      <w:r>
        <w:t>Ausflugstourismus</w:t>
      </w:r>
      <w:proofErr w:type="spellEnd"/>
      <w:r>
        <w:t xml:space="preserve"> </w:t>
      </w:r>
      <w:proofErr w:type="spellStart"/>
      <w:r>
        <w:t>im</w:t>
      </w:r>
      <w:proofErr w:type="spellEnd"/>
      <w:r>
        <w:t xml:space="preserve"> </w:t>
      </w:r>
      <w:proofErr w:type="spellStart"/>
      <w:r>
        <w:t>Dezember</w:t>
      </w:r>
      <w:proofErr w:type="spellEnd"/>
      <w:r>
        <w:t xml:space="preserve"> 2020</w:t>
      </w: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lang w:val="de-DE"/>
        </w:rPr>
      </w:pPr>
    </w:p>
    <w:p>
      <w:pPr>
        <w:pStyle w:val="NurText"/>
        <w:rPr>
          <w:rFonts w:ascii="Scala Sans OT" w:hAnsi="Scala Sans OT"/>
          <w:lang w:val="de-DE"/>
        </w:rPr>
      </w:pPr>
    </w:p>
    <w:p>
      <w:pPr>
        <w:rPr>
          <w:rFonts w:ascii="Scala Sans OT" w:hAnsi="Scala Sans OT"/>
        </w:rPr>
      </w:pPr>
    </w:p>
    <w:p>
      <w:pPr>
        <w:rPr>
          <w:rFonts w:ascii="Scala Sans OT" w:hAnsi="Scala Sans OT"/>
        </w:rPr>
      </w:pPr>
      <w:r>
        <w:rPr>
          <w:rFonts w:ascii="Scala Sans OT" w:hAnsi="Scala Sans OT"/>
          <w:noProof/>
        </w:rPr>
        <mc:AlternateContent>
          <mc:Choice Requires="wps">
            <w:drawing>
              <wp:anchor distT="0" distB="0" distL="114300" distR="114300" simplePos="0" relativeHeight="251670528" behindDoc="0" locked="1" layoutInCell="1" allowOverlap="1">
                <wp:simplePos x="0" y="0"/>
                <wp:positionH relativeFrom="column">
                  <wp:posOffset>-914400</wp:posOffset>
                </wp:positionH>
                <wp:positionV relativeFrom="page">
                  <wp:posOffset>212725</wp:posOffset>
                </wp:positionV>
                <wp:extent cx="7673340" cy="457200"/>
                <wp:effectExtent l="0" t="0" r="0" b="0"/>
                <wp:wrapNone/>
                <wp:docPr id="9" name="Rechteck 9"/>
                <wp:cNvGraphicFramePr/>
                <a:graphic xmlns:a="http://schemas.openxmlformats.org/drawingml/2006/main">
                  <a:graphicData uri="http://schemas.microsoft.com/office/word/2010/wordprocessingShape">
                    <wps:wsp>
                      <wps:cNvSpPr/>
                      <wps:spPr>
                        <a:xfrm>
                          <a:off x="0" y="0"/>
                          <a:ext cx="7673340" cy="45720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 o:spid="_x0000_s1026" style="position:absolute;margin-left:-1in;margin-top:16.75pt;width:604.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" fillcolor="white [3212]" stroked="f">
                <w10:wrap anchory="page"/>
                <w10:anchorlock/>
              </v:rect>
            </w:pict>
          </mc:Fallback>
        </mc:AlternateContent>
      </w:r>
      <w:r>
        <w:rPr>
          <w:rFonts w:ascii="Scala Sans OT" w:hAnsi="Scala Sans OT"/>
          <w:noProof/>
        </w:rPr>
        <mc:AlternateContent>
          <mc:Choice Requires="wps">
            <w:drawing>
              <wp:anchor distT="0" distB="0" distL="114300" distR="114300" simplePos="0" relativeHeight="251667456" behindDoc="1" locked="1" layoutInCell="1" allowOverlap="1">
                <wp:simplePos x="0" y="0"/>
                <wp:positionH relativeFrom="page">
                  <wp:align>right</wp:align>
                </wp:positionH>
                <wp:positionV relativeFrom="page">
                  <wp:posOffset>2413000</wp:posOffset>
                </wp:positionV>
                <wp:extent cx="6659880" cy="6999605"/>
                <wp:effectExtent l="0" t="0" r="7620" b="0"/>
                <wp:wrapNone/>
                <wp:docPr id="12" name="Textfeld 12"/>
                <wp:cNvGraphicFramePr/>
                <a:graphic xmlns:a="http://schemas.openxmlformats.org/drawingml/2006/main">
                  <a:graphicData uri="http://schemas.microsoft.com/office/word/2010/wordprocessingShape">
                    <wps:wsp>
                      <wps:cNvSpPr txBox="1"/>
                      <wps:spPr>
                        <a:xfrm>
                          <a:off x="0" y="0"/>
                          <a:ext cx="6659880" cy="6999605"/>
                        </a:xfrm>
                        <a:prstGeom prst="rect">
                          <a:avLst/>
                        </a:prstGeom>
                        <a:solidFill>
                          <a:srgbClr val="045AA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pStyle w:val="TextU4"/>
                              <w:rPr>
                                <w:rFonts w:ascii="Scala Sans OT" w:hAnsi="Scala Sans OT"/>
                                <w:lang w:val="en-US"/>
                              </w:rPr>
                            </w:pPr>
                          </w:p>
                        </w:txbxContent>
                      </wps:txbx>
                      <wps:bodyPr rot="0" spcFirstLastPara="0" vertOverflow="overflow" horzOverflow="overflow" vert="horz" wrap="square" lIns="684000" tIns="3834000" rIns="1224000" bIns="72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left:0;text-align:left;margin-left:473.2pt;margin-top:190pt;width:524.4pt;height:551.1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" fillcolor="#045aa6" stroked="f">
                <v:textbox inset="19mm,106.5mm,34mm,20mm">
                  <w:txbxContent>
                    <w:p>
                      <w:pPr>
                        <w:pStyle w:val="TextU4"/>
                        <w:rPr>
                          <w:rFonts w:ascii="Scala Sans OT" w:hAnsi="Scala Sans OT"/>
                          <w:lang w:val="en-US"/>
                        </w:rPr>
                      </w:pPr>
                    </w:p>
                  </w:txbxContent>
                </v:textbox>
                <w10:wrap anchorx="page" anchory="page"/>
                <w10:anchorlock/>
              </v:shape>
            </w:pict>
          </mc:Fallback>
        </mc:AlternateContent>
      </w:r>
    </w:p>
    <w:sectPr>
      <w:headerReference w:type="even" r:id="rId18"/>
      <w:headerReference w:type="default" r:id="rId19"/>
      <w:pgSz w:w="11900" w:h="16840"/>
      <w:pgMar w:top="1418" w:right="1268" w:bottom="1134" w:left="1418" w:header="43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p/>
    <w:p/>
    <w:p/>
  </w:endnote>
  <w:endnote w:type="continuationSeparator" w:id="0">
    <w:p>
      <w:r>
        <w:continuationSeparator/>
      </w:r>
    </w:p>
    <w:p/>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Yu Gothic"/>
    <w:panose1 w:val="02020609040205080304"/>
    <w:charset w:val="80"/>
    <w:family w:val="roman"/>
    <w:notTrueType/>
    <w:pitch w:val="fixed"/>
    <w:sig w:usb0="00000000" w:usb1="08070000" w:usb2="00000010" w:usb3="00000000" w:csb0="00020000" w:csb1="00000000"/>
  </w:font>
  <w:font w:name="ScalaSansPro-Regular">
    <w:altName w:val="Calibri"/>
    <w:panose1 w:val="00000000000000000000"/>
    <w:charset w:val="00"/>
    <w:family w:val="modern"/>
    <w:notTrueType/>
    <w:pitch w:val="variable"/>
    <w:sig w:usb0="00000001" w:usb1="4000E04A" w:usb2="00000000" w:usb3="00000000" w:csb0="00000093" w:csb1="00000000"/>
  </w:font>
  <w:font w:name="ScalaSansPro-Bold">
    <w:altName w:val="Arial"/>
    <w:panose1 w:val="00000000000000000000"/>
    <w:charset w:val="00"/>
    <w:family w:val="modern"/>
    <w:notTrueType/>
    <w:pitch w:val="variable"/>
    <w:sig w:usb0="800000AF" w:usb1="4000A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0" w:usb1="5000A1FF" w:usb2="00000000" w:usb3="00000000" w:csb0="000001BF" w:csb1="00000000"/>
  </w:font>
  <w:font w:name="Scala Sans OT">
    <w:panose1 w:val="020B0504030101020104"/>
    <w:charset w:val="00"/>
    <w:family w:val="swiss"/>
    <w:pitch w:val="variable"/>
    <w:sig w:usb0="A00000EF" w:usb1="5000E05B"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p/>
    <w:p/>
    <w:p/>
  </w:footnote>
  <w:footnote w:type="continuationSeparator" w:id="0">
    <w:p>
      <w:r>
        <w:continuationSeparator/>
      </w:r>
    </w:p>
    <w:p/>
    <w:p/>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NurText"/>
      <w:rPr>
        <w:rFonts w:ascii="Scala Sans OT" w:eastAsiaTheme="minorEastAsia" w:hAnsi="Scala Sans OT"/>
        <w:color w:val="045AA6"/>
        <w:sz w:val="16"/>
        <w:szCs w:val="16"/>
        <w:lang w:val="de-DE" w:eastAsia="de-DE"/>
      </w:rPr>
    </w:pPr>
    <w:r>
      <w:rPr>
        <w:rFonts w:ascii="Scala Sans OT" w:eastAsiaTheme="minorEastAsia" w:hAnsi="Scala Sans OT"/>
        <w:color w:val="045AA6"/>
        <w:sz w:val="16"/>
        <w:szCs w:val="16"/>
        <w:lang w:val="de-DE" w:eastAsia="de-DE"/>
      </w:rPr>
      <mc:AlternateContent>
        <mc:Choice Requires="wps">
          <w:drawing>
            <wp:anchor distT="0" distB="0" distL="114300" distR="114300" simplePos="0" relativeHeight="251770880" behindDoc="0" locked="1" layoutInCell="1" allowOverlap="1">
              <wp:simplePos x="0" y="0"/>
              <wp:positionH relativeFrom="column">
                <wp:posOffset>-914400</wp:posOffset>
              </wp:positionH>
              <wp:positionV relativeFrom="page">
                <wp:posOffset>248920</wp:posOffset>
              </wp:positionV>
              <wp:extent cx="669290" cy="194310"/>
              <wp:effectExtent l="0" t="0" r="0" b="8890"/>
              <wp:wrapNone/>
              <wp:docPr id="15" name="Textfeld 15"/>
              <wp:cNvGraphicFramePr/>
              <a:graphic xmlns:a="http://schemas.openxmlformats.org/drawingml/2006/main">
                <a:graphicData uri="http://schemas.microsoft.com/office/word/2010/wordprocessingShape">
                  <wps:wsp>
                    <wps:cNvSpPr txBox="1"/>
                    <wps:spPr>
                      <a:xfrm>
                        <a:off x="0" y="0"/>
                        <a:ext cx="669290" cy="1943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pStyle w:val="RKISeitenzahllinke"/>
                            <w:rPr>
                              <w:rFonts w:ascii="Scala Sans OT" w:hAnsi="Scala Sans OT"/>
                            </w:rPr>
                          </w:pPr>
                          <w:r>
                            <w:rPr>
                              <w:rFonts w:ascii="Scala Sans OT" w:hAnsi="Scala Sans OT"/>
                            </w:rPr>
                            <w:fldChar w:fldCharType="begin"/>
                          </w:r>
                          <w:r>
                            <w:rPr>
                              <w:rFonts w:ascii="Scala Sans OT" w:hAnsi="Scala Sans OT"/>
                            </w:rPr>
                            <w:instrText xml:space="preserve"> PAGE  \* MERGEFORMAT </w:instrText>
                          </w:r>
                          <w:r>
                            <w:rPr>
                              <w:rFonts w:ascii="Scala Sans OT" w:hAnsi="Scala Sans OT"/>
                            </w:rPr>
                            <w:fldChar w:fldCharType="separate"/>
                          </w:r>
                          <w:r>
                            <w:rPr>
                              <w:rFonts w:ascii="Scala Sans OT" w:hAnsi="Scala Sans OT"/>
                              <w:noProof/>
                            </w:rPr>
                            <w:t>2</w:t>
                          </w:r>
                          <w:r>
                            <w:rPr>
                              <w:rFonts w:ascii="Scala Sans OT" w:hAnsi="Scala Sans OT"/>
                            </w:rPr>
                            <w:fldChar w:fldCharType="end"/>
                          </w:r>
                        </w:p>
                      </w:txbxContent>
                    </wps:txbx>
                    <wps:bodyPr rot="0" spcFirstLastPara="0" vertOverflow="overflow" horzOverflow="overflow" vert="horz" wrap="square" lIns="91440" tIns="324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8" type="#_x0000_t202" style="position:absolute;margin-left:-1in;margin-top:19.6pt;width:52.7pt;height:1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" filled="f" stroked="f">
              <v:textbox inset=",.9mm,,0">
                <w:txbxContent>
                  <w:p>
                    <w:pPr>
                      <w:pStyle w:val="RKISeitenzahllinke"/>
                      <w:rPr>
                        <w:rFonts w:ascii="Scala Sans OT" w:hAnsi="Scala Sans OT"/>
                      </w:rPr>
                    </w:pPr>
                    <w:r>
                      <w:rPr>
                        <w:rFonts w:ascii="Scala Sans OT" w:hAnsi="Scala Sans OT"/>
                      </w:rPr>
                      <w:fldChar w:fldCharType="begin"/>
                    </w:r>
                    <w:r>
                      <w:rPr>
                        <w:rFonts w:ascii="Scala Sans OT" w:hAnsi="Scala Sans OT"/>
                      </w:rPr>
                      <w:instrText xml:space="preserve"> PAGE  \* MERGEFORMAT </w:instrText>
                    </w:r>
                    <w:r>
                      <w:rPr>
                        <w:rFonts w:ascii="Scala Sans OT" w:hAnsi="Scala Sans OT"/>
                      </w:rPr>
                      <w:fldChar w:fldCharType="separate"/>
                    </w:r>
                    <w:r>
                      <w:rPr>
                        <w:rFonts w:ascii="Scala Sans OT" w:hAnsi="Scala Sans OT"/>
                        <w:noProof/>
                      </w:rPr>
                      <w:t>2</w:t>
                    </w:r>
                    <w:r>
                      <w:rPr>
                        <w:rFonts w:ascii="Scala Sans OT" w:hAnsi="Scala Sans OT"/>
                      </w:rPr>
                      <w:fldChar w:fldCharType="end"/>
                    </w:r>
                  </w:p>
                </w:txbxContent>
              </v:textbox>
              <w10:wrap anchory="page"/>
              <w10:anchorlock/>
            </v:shape>
          </w:pict>
        </mc:Fallback>
      </mc:AlternateContent>
    </w:r>
    <w:r>
      <w:rPr>
        <w:rFonts w:ascii="Scala Sans OT" w:eastAsiaTheme="minorEastAsia" w:hAnsi="Scala Sans OT"/>
        <w:color w:val="045AA6"/>
        <w:sz w:val="16"/>
        <w:szCs w:val="16"/>
        <w:lang w:val="de-DE" w:eastAsia="de-DE"/>
      </w:rPr>
      <mc:AlternateContent>
        <mc:Choice Requires="wps">
          <w:drawing>
            <wp:anchor distT="0" distB="0" distL="114300" distR="114300" simplePos="0" relativeHeight="251618304" behindDoc="1" locked="1" layoutInCell="1" allowOverlap="1">
              <wp:simplePos x="0" y="0"/>
              <wp:positionH relativeFrom="column">
                <wp:posOffset>-906145</wp:posOffset>
              </wp:positionH>
              <wp:positionV relativeFrom="page">
                <wp:posOffset>250825</wp:posOffset>
              </wp:positionV>
              <wp:extent cx="666000" cy="180000"/>
              <wp:effectExtent l="0" t="0" r="0" b="0"/>
              <wp:wrapNone/>
              <wp:docPr id="11" name="Rechteck 11"/>
              <wp:cNvGraphicFramePr/>
              <a:graphic xmlns:a="http://schemas.openxmlformats.org/drawingml/2006/main">
                <a:graphicData uri="http://schemas.microsoft.com/office/word/2010/wordprocessingShape">
                  <wps:wsp>
                    <wps:cNvSpPr/>
                    <wps:spPr>
                      <a:xfrm>
                        <a:off x="0" y="0"/>
                        <a:ext cx="666000" cy="180000"/>
                      </a:xfrm>
                      <a:prstGeom prst="rect">
                        <a:avLst/>
                      </a:prstGeom>
                      <a:solidFill>
                        <a:srgbClr val="045AA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 o:spid="_x0000_s1026" style="position:absolute;margin-left:-71.35pt;margin-top:19.75pt;width:52.4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" fillcolor="#045aa6" stroked="f">
              <w10:wrap anchory="page"/>
              <w10:anchorlock/>
            </v:rect>
          </w:pict>
        </mc:Fallback>
      </mc:AlternateContent>
    </w:r>
    <w:r>
      <w:rPr>
        <w:rFonts w:ascii="Scala Sans OT" w:eastAsiaTheme="minorEastAsia" w:hAnsi="Scala Sans OT"/>
        <w:color w:val="045AA6"/>
        <w:sz w:val="16"/>
        <w:szCs w:val="16"/>
        <w:lang w:val="de-DE" w:eastAsia="de-DE"/>
      </w:rPr>
      <mc:AlternateContent>
        <mc:Choice Requires="wps">
          <w:drawing>
            <wp:anchor distT="0" distB="0" distL="114300" distR="114300" simplePos="0" relativeHeight="251694080" behindDoc="1" locked="1" layoutInCell="1" allowOverlap="1">
              <wp:simplePos x="0" y="0"/>
              <wp:positionH relativeFrom="column">
                <wp:posOffset>-914400</wp:posOffset>
              </wp:positionH>
              <wp:positionV relativeFrom="page">
                <wp:posOffset>431800</wp:posOffset>
              </wp:positionV>
              <wp:extent cx="7086600" cy="0"/>
              <wp:effectExtent l="0" t="0" r="25400" b="25400"/>
              <wp:wrapNone/>
              <wp:docPr id="7" name="Gerade Verbindung 7"/>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045AA6"/>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34pt" to="48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" strokecolor="#045aa6" strokeweight="1pt">
              <w10:wrap anchory="page"/>
              <w10:anchorlock/>
            </v:line>
          </w:pict>
        </mc:Fallback>
      </mc:AlternateContent>
    </w:r>
    <w:proofErr w:type="spellStart"/>
    <w:r>
      <w:rPr>
        <w:rFonts w:ascii="Scala Sans OT" w:eastAsiaTheme="minorEastAsia" w:hAnsi="Scala Sans OT"/>
        <w:color w:val="045AA6"/>
        <w:sz w:val="16"/>
        <w:szCs w:val="16"/>
        <w:lang w:val="de-DE" w:eastAsia="de-DE"/>
      </w:rPr>
      <w:t>Einschätzung</w:t>
    </w:r>
    <w:proofErr w:type="spellEnd"/>
    <w:r>
      <w:rPr>
        <w:rFonts w:ascii="Scala Sans OT" w:eastAsiaTheme="minorEastAsia" w:hAnsi="Scala Sans OT"/>
        <w:color w:val="045AA6"/>
        <w:sz w:val="16"/>
        <w:szCs w:val="16"/>
        <w:lang w:val="de-DE" w:eastAsia="de-DE"/>
      </w:rPr>
      <w:t xml:space="preserve"> der </w:t>
    </w:r>
    <w:proofErr w:type="spellStart"/>
    <w:r>
      <w:rPr>
        <w:rFonts w:ascii="Scala Sans OT" w:eastAsiaTheme="minorEastAsia" w:hAnsi="Scala Sans OT"/>
        <w:color w:val="045AA6"/>
        <w:sz w:val="16"/>
        <w:szCs w:val="16"/>
        <w:lang w:val="de-DE" w:eastAsia="de-DE"/>
      </w:rPr>
      <w:t>aktuellen</w:t>
    </w:r>
    <w:proofErr w:type="spellEnd"/>
    <w:r>
      <w:rPr>
        <w:rFonts w:ascii="Scala Sans OT" w:eastAsiaTheme="minorEastAsia" w:hAnsi="Scala Sans OT"/>
        <w:color w:val="045AA6"/>
        <w:sz w:val="16"/>
        <w:szCs w:val="16"/>
        <w:lang w:val="de-DE" w:eastAsia="de-DE"/>
      </w:rPr>
      <w:t xml:space="preserve"> Lage</w:t>
    </w:r>
  </w:p>
  <w:p>
    <w:pPr>
      <w:pStyle w:val="Kopfzeile"/>
      <w:ind w:firstLine="14"/>
      <w:rPr>
        <w:rFonts w:ascii="Scala Sans OT" w:hAnsi="Scala Sans O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RKISeitenzahllinke"/>
      <w:framePr w:wrap="around"/>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pPr>
      <w:pStyle w:val="Kopfzeile"/>
      <w:ind w:left="-181" w:right="0" w:firstLine="360"/>
      <w:jc w:val="right"/>
      <w:rPr>
        <w:rFonts w:ascii="Scala Sans OT" w:hAnsi="Scala Sans OT"/>
      </w:rPr>
    </w:pPr>
    <w:r>
      <w:rPr>
        <w:rFonts w:ascii="Scala Sans OT" w:hAnsi="Scala Sans OT"/>
        <w:noProof/>
      </w:rPr>
      <mc:AlternateContent>
        <mc:Choice Requires="wps">
          <w:drawing>
            <wp:anchor distT="0" distB="0" distL="114300" distR="114300" simplePos="0" relativeHeight="251666432" behindDoc="0" locked="1" layoutInCell="1" allowOverlap="1">
              <wp:simplePos x="0" y="0"/>
              <wp:positionH relativeFrom="column">
                <wp:posOffset>5998210</wp:posOffset>
              </wp:positionH>
              <wp:positionV relativeFrom="page">
                <wp:posOffset>248920</wp:posOffset>
              </wp:positionV>
              <wp:extent cx="631190" cy="189230"/>
              <wp:effectExtent l="0" t="0" r="0" b="13970"/>
              <wp:wrapNone/>
              <wp:docPr id="18" name="Textfeld 18"/>
              <wp:cNvGraphicFramePr/>
              <a:graphic xmlns:a="http://schemas.openxmlformats.org/drawingml/2006/main">
                <a:graphicData uri="http://schemas.microsoft.com/office/word/2010/wordprocessingShape">
                  <wps:wsp>
                    <wps:cNvSpPr txBox="1"/>
                    <wps:spPr>
                      <a:xfrm>
                        <a:off x="0" y="0"/>
                        <a:ext cx="631190" cy="1892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pStyle w:val="RKISeitenzahlrechte"/>
                            <w:rPr>
                              <w:rFonts w:ascii="Scala Sans OT" w:hAnsi="Scala Sans OT"/>
                            </w:rPr>
                          </w:pPr>
                          <w:r>
                            <w:rPr>
                              <w:rFonts w:ascii="Scala Sans OT" w:hAnsi="Scala Sans OT"/>
                            </w:rPr>
                            <w:fldChar w:fldCharType="begin"/>
                          </w:r>
                          <w:r>
                            <w:rPr>
                              <w:rFonts w:ascii="Scala Sans OT" w:hAnsi="Scala Sans OT"/>
                            </w:rPr>
                            <w:instrText xml:space="preserve"> PAGE  \* MERGEFORMAT </w:instrText>
                          </w:r>
                          <w:r>
                            <w:rPr>
                              <w:rFonts w:ascii="Scala Sans OT" w:hAnsi="Scala Sans OT"/>
                            </w:rPr>
                            <w:fldChar w:fldCharType="separate"/>
                          </w:r>
                          <w:r>
                            <w:rPr>
                              <w:rFonts w:ascii="Scala Sans OT" w:hAnsi="Scala Sans OT"/>
                              <w:noProof/>
                            </w:rPr>
                            <w:t>3</w:t>
                          </w:r>
                          <w:r>
                            <w:rPr>
                              <w:rFonts w:ascii="Scala Sans OT" w:hAnsi="Scala Sans OT"/>
                            </w:rPr>
                            <w:fldChar w:fldCharType="end"/>
                          </w:r>
                        </w:p>
                      </w:txbxContent>
                    </wps:txbx>
                    <wps:bodyPr rot="0" spcFirstLastPara="0" vertOverflow="overflow" horzOverflow="overflow" vert="horz" wrap="square" lIns="91440" tIns="324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9" type="#_x0000_t202" style="position:absolute;left:0;text-align:left;margin-left:472.3pt;margin-top:19.6pt;width:49.7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" filled="f" stroked="f">
              <v:textbox inset=",.9mm,,0">
                <w:txbxContent>
                  <w:p>
                    <w:pPr>
                      <w:pStyle w:val="RKISeitenzahlrechte"/>
                      <w:rPr>
                        <w:rFonts w:ascii="Scala Sans OT" w:hAnsi="Scala Sans OT"/>
                      </w:rPr>
                    </w:pPr>
                    <w:r>
                      <w:rPr>
                        <w:rFonts w:ascii="Scala Sans OT" w:hAnsi="Scala Sans OT"/>
                      </w:rPr>
                      <w:fldChar w:fldCharType="begin"/>
                    </w:r>
                    <w:r>
                      <w:rPr>
                        <w:rFonts w:ascii="Scala Sans OT" w:hAnsi="Scala Sans OT"/>
                      </w:rPr>
                      <w:instrText xml:space="preserve"> PAGE  \* MERGEFORMAT </w:instrText>
                    </w:r>
                    <w:r>
                      <w:rPr>
                        <w:rFonts w:ascii="Scala Sans OT" w:hAnsi="Scala Sans OT"/>
                      </w:rPr>
                      <w:fldChar w:fldCharType="separate"/>
                    </w:r>
                    <w:r>
                      <w:rPr>
                        <w:rFonts w:ascii="Scala Sans OT" w:hAnsi="Scala Sans OT"/>
                        <w:noProof/>
                      </w:rPr>
                      <w:t>3</w:t>
                    </w:r>
                    <w:r>
                      <w:rPr>
                        <w:rFonts w:ascii="Scala Sans OT" w:hAnsi="Scala Sans OT"/>
                      </w:rPr>
                      <w:fldChar w:fldCharType="end"/>
                    </w:r>
                  </w:p>
                </w:txbxContent>
              </v:textbox>
              <w10:wrap anchory="page"/>
              <w10:anchorlock/>
            </v:shape>
          </w:pict>
        </mc:Fallback>
      </mc:AlternateContent>
    </w:r>
    <w:r>
      <w:rPr>
        <w:rFonts w:ascii="Scala Sans OT" w:hAnsi="Scala Sans OT"/>
        <w:noProof/>
      </w:rPr>
      <mc:AlternateContent>
        <mc:Choice Requires="wps">
          <w:drawing>
            <wp:anchor distT="0" distB="0" distL="114300" distR="114300" simplePos="0" relativeHeight="251662336" behindDoc="1" locked="1" layoutInCell="1" allowOverlap="1">
              <wp:simplePos x="0" y="0"/>
              <wp:positionH relativeFrom="column">
                <wp:posOffset>5997575</wp:posOffset>
              </wp:positionH>
              <wp:positionV relativeFrom="page">
                <wp:posOffset>250825</wp:posOffset>
              </wp:positionV>
              <wp:extent cx="665480" cy="179705"/>
              <wp:effectExtent l="0" t="0" r="0" b="0"/>
              <wp:wrapNone/>
              <wp:docPr id="10" name="Rechteck 10"/>
              <wp:cNvGraphicFramePr/>
              <a:graphic xmlns:a="http://schemas.openxmlformats.org/drawingml/2006/main">
                <a:graphicData uri="http://schemas.microsoft.com/office/word/2010/wordprocessingShape">
                  <wps:wsp>
                    <wps:cNvSpPr/>
                    <wps:spPr>
                      <a:xfrm>
                        <a:off x="0" y="0"/>
                        <a:ext cx="665480" cy="179705"/>
                      </a:xfrm>
                      <a:prstGeom prst="rect">
                        <a:avLst/>
                      </a:prstGeom>
                      <a:solidFill>
                        <a:srgbClr val="045AA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 o:spid="_x0000_s1026" style="position:absolute;margin-left:472.25pt;margin-top:19.75pt;width:52.4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" fillcolor="#045aa6" stroked="f">
              <w10:wrap anchory="page"/>
              <w10:anchorlock/>
            </v:rect>
          </w:pict>
        </mc:Fallback>
      </mc:AlternateContent>
    </w:r>
    <w:r>
      <w:rPr>
        <w:rFonts w:ascii="Scala Sans OT" w:hAnsi="Scala Sans OT"/>
        <w:noProof/>
      </w:rPr>
      <mc:AlternateContent>
        <mc:Choice Requires="wps">
          <w:drawing>
            <wp:anchor distT="0" distB="0" distL="114300" distR="114300" simplePos="0" relativeHeight="251663360" behindDoc="1" locked="1" layoutInCell="1" allowOverlap="1">
              <wp:simplePos x="0" y="0"/>
              <wp:positionH relativeFrom="column">
                <wp:posOffset>-421640</wp:posOffset>
              </wp:positionH>
              <wp:positionV relativeFrom="page">
                <wp:posOffset>431800</wp:posOffset>
              </wp:positionV>
              <wp:extent cx="7086600" cy="0"/>
              <wp:effectExtent l="0" t="0" r="25400" b="25400"/>
              <wp:wrapNone/>
              <wp:docPr id="14" name="Gerade Verbindung 14"/>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045AA6"/>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3.2pt,34pt" to="524.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" strokecolor="#045aa6" strokeweight="1pt">
              <w10:wrap anchory="page"/>
              <w10:anchorlock/>
            </v:line>
          </w:pict>
        </mc:Fallback>
      </mc:AlternateContent>
    </w:r>
    <w:r>
      <w:rPr>
        <w:rFonts w:ascii="Scala Sans OT" w:hAnsi="Scala Sans OT"/>
      </w:rPr>
      <w:t>Einschätzung der aktuellen Lage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8512C9"/>
    <w:multiLevelType w:val="hybridMultilevel"/>
    <w:tmpl w:val="8D021B44"/>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B9523D3"/>
    <w:multiLevelType w:val="hybridMultilevel"/>
    <w:tmpl w:val="AAF0440E"/>
    <w:lvl w:ilvl="0" w:tplc="BF243EB2">
      <w:start w:val="1"/>
      <w:numFmt w:val="decimal"/>
      <w:lvlText w:val="%1)"/>
      <w:lvlJc w:val="left"/>
      <w:pPr>
        <w:ind w:left="190" w:hanging="360"/>
      </w:pPr>
      <w:rPr>
        <w:rFonts w:hint="default"/>
      </w:rPr>
    </w:lvl>
    <w:lvl w:ilvl="1" w:tplc="04070019" w:tentative="1">
      <w:start w:val="1"/>
      <w:numFmt w:val="lowerLetter"/>
      <w:lvlText w:val="%2."/>
      <w:lvlJc w:val="left"/>
      <w:pPr>
        <w:ind w:left="910" w:hanging="360"/>
      </w:pPr>
    </w:lvl>
    <w:lvl w:ilvl="2" w:tplc="0407001B" w:tentative="1">
      <w:start w:val="1"/>
      <w:numFmt w:val="lowerRoman"/>
      <w:lvlText w:val="%3."/>
      <w:lvlJc w:val="right"/>
      <w:pPr>
        <w:ind w:left="1630" w:hanging="180"/>
      </w:pPr>
    </w:lvl>
    <w:lvl w:ilvl="3" w:tplc="0407000F" w:tentative="1">
      <w:start w:val="1"/>
      <w:numFmt w:val="decimal"/>
      <w:lvlText w:val="%4."/>
      <w:lvlJc w:val="left"/>
      <w:pPr>
        <w:ind w:left="2350" w:hanging="360"/>
      </w:pPr>
    </w:lvl>
    <w:lvl w:ilvl="4" w:tplc="04070019" w:tentative="1">
      <w:start w:val="1"/>
      <w:numFmt w:val="lowerLetter"/>
      <w:lvlText w:val="%5."/>
      <w:lvlJc w:val="left"/>
      <w:pPr>
        <w:ind w:left="3070" w:hanging="360"/>
      </w:pPr>
    </w:lvl>
    <w:lvl w:ilvl="5" w:tplc="0407001B" w:tentative="1">
      <w:start w:val="1"/>
      <w:numFmt w:val="lowerRoman"/>
      <w:lvlText w:val="%6."/>
      <w:lvlJc w:val="right"/>
      <w:pPr>
        <w:ind w:left="3790" w:hanging="180"/>
      </w:pPr>
    </w:lvl>
    <w:lvl w:ilvl="6" w:tplc="0407000F" w:tentative="1">
      <w:start w:val="1"/>
      <w:numFmt w:val="decimal"/>
      <w:lvlText w:val="%7."/>
      <w:lvlJc w:val="left"/>
      <w:pPr>
        <w:ind w:left="4510" w:hanging="360"/>
      </w:pPr>
    </w:lvl>
    <w:lvl w:ilvl="7" w:tplc="04070019" w:tentative="1">
      <w:start w:val="1"/>
      <w:numFmt w:val="lowerLetter"/>
      <w:lvlText w:val="%8."/>
      <w:lvlJc w:val="left"/>
      <w:pPr>
        <w:ind w:left="5230" w:hanging="360"/>
      </w:pPr>
    </w:lvl>
    <w:lvl w:ilvl="8" w:tplc="0407001B" w:tentative="1">
      <w:start w:val="1"/>
      <w:numFmt w:val="lowerRoman"/>
      <w:lvlText w:val="%9."/>
      <w:lvlJc w:val="right"/>
      <w:pPr>
        <w:ind w:left="5950" w:hanging="180"/>
      </w:pPr>
    </w:lvl>
  </w:abstractNum>
  <w:abstractNum w:abstractNumId="2" w15:restartNumberingAfterBreak="0">
    <w:nsid w:val="41964CBD"/>
    <w:multiLevelType w:val="hybridMultilevel"/>
    <w:tmpl w:val="8D021B44"/>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AC7773D"/>
    <w:multiLevelType w:val="hybridMultilevel"/>
    <w:tmpl w:val="73B420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CB67C0E"/>
    <w:multiLevelType w:val="hybridMultilevel"/>
    <w:tmpl w:val="BE50949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44815BB-8E45-4EF7-BE3F-5A129F1A6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line="300" w:lineRule="auto"/>
      <w:ind w:left="-170"/>
    </w:pPr>
    <w:rPr>
      <w:rFonts w:ascii="ScalaSansPro-Regular" w:hAnsi="ScalaSansPro-Regular"/>
      <w:sz w:val="20"/>
      <w:szCs w:val="20"/>
    </w:rPr>
  </w:style>
  <w:style w:type="paragraph" w:styleId="berschrift1">
    <w:name w:val="heading 1"/>
    <w:aliases w:val="Scala"/>
    <w:basedOn w:val="Standard"/>
    <w:next w:val="Standard"/>
    <w:link w:val="berschrift1Zchn"/>
    <w:uiPriority w:val="9"/>
    <w:qFormat/>
    <w:pPr>
      <w:keepNext/>
      <w:keepLines/>
      <w:spacing w:before="480"/>
      <w:outlineLvl w:val="0"/>
    </w:pPr>
    <w:rPr>
      <w:rFonts w:ascii="ScalaSansPro-Bold" w:eastAsiaTheme="majorEastAsia" w:hAnsi="ScalaSansPro-Bold" w:cstheme="majorBidi"/>
      <w:bCs/>
      <w:color w:val="045AA6"/>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Pr>
      <w:rFonts w:ascii="Lucida Grande" w:hAnsi="Lucida Grande" w:cs="Lucida Grande"/>
      <w:sz w:val="18"/>
      <w:szCs w:val="18"/>
    </w:rPr>
  </w:style>
  <w:style w:type="paragraph" w:customStyle="1" w:styleId="RKIFLAGLINE">
    <w:name w:val="__RKI_FLAGLINE"/>
    <w:qFormat/>
    <w:pPr>
      <w:spacing w:after="120" w:line="240" w:lineRule="exact"/>
    </w:pPr>
    <w:rPr>
      <w:rFonts w:ascii="ScalaSansPro-Regular" w:hAnsi="ScalaSansPro-Regular"/>
      <w:caps/>
      <w:color w:val="FFFFFF" w:themeColor="background1"/>
      <w:spacing w:val="4"/>
      <w:sz w:val="22"/>
      <w:szCs w:val="22"/>
      <w14:numForm w14:val="lining"/>
    </w:rPr>
  </w:style>
  <w:style w:type="paragraph" w:customStyle="1" w:styleId="RKITitel">
    <w:name w:val="__RKI_Titel"/>
    <w:autoRedefine/>
    <w:qFormat/>
    <w:pPr>
      <w:spacing w:line="504" w:lineRule="exact"/>
    </w:pPr>
    <w:rPr>
      <w:rFonts w:ascii="ScalaSansPro-Bold" w:hAnsi="ScalaSansPro-Bold"/>
      <w:color w:val="FFFFFF" w:themeColor="background1"/>
      <w:sz w:val="48"/>
      <w:szCs w:val="48"/>
    </w:rPr>
  </w:style>
  <w:style w:type="paragraph" w:customStyle="1" w:styleId="TextU4">
    <w:name w:val="Text U4"/>
    <w:basedOn w:val="Standard"/>
    <w:uiPriority w:val="99"/>
    <w:pPr>
      <w:widowControl w:val="0"/>
      <w:autoSpaceDE w:val="0"/>
      <w:autoSpaceDN w:val="0"/>
      <w:adjustRightInd w:val="0"/>
      <w:spacing w:line="288" w:lineRule="auto"/>
      <w:textAlignment w:val="center"/>
    </w:pPr>
    <w:rPr>
      <w:rFonts w:cs="ScalaSansPro-Regular"/>
      <w:color w:val="FFFFFF"/>
    </w:rPr>
  </w:style>
  <w:style w:type="paragraph" w:styleId="Kopfzeile">
    <w:name w:val="header"/>
    <w:aliases w:val="__RKI_Kopfzeile"/>
    <w:link w:val="KopfzeileZchn"/>
    <w:uiPriority w:val="99"/>
    <w:unhideWhenUsed/>
    <w:pPr>
      <w:tabs>
        <w:tab w:val="center" w:pos="4536"/>
        <w:tab w:val="right" w:pos="9072"/>
      </w:tabs>
      <w:ind w:left="-182" w:right="360"/>
    </w:pPr>
    <w:rPr>
      <w:rFonts w:ascii="ScalaSansPro-Regular" w:hAnsi="ScalaSansPro-Regular"/>
      <w:color w:val="045AA6"/>
      <w:sz w:val="16"/>
      <w:szCs w:val="16"/>
    </w:rPr>
  </w:style>
  <w:style w:type="character" w:customStyle="1" w:styleId="KopfzeileZchn">
    <w:name w:val="Kopfzeile Zchn"/>
    <w:aliases w:val="__RKI_Kopfzeile Zchn"/>
    <w:basedOn w:val="Absatz-Standardschriftart"/>
    <w:link w:val="Kopfzeile"/>
    <w:uiPriority w:val="99"/>
    <w:rPr>
      <w:rFonts w:ascii="ScalaSansPro-Regular" w:hAnsi="ScalaSansPro-Regular"/>
      <w:color w:val="045AA6"/>
      <w:sz w:val="16"/>
      <w:szCs w:val="16"/>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character" w:styleId="Seitenzahl">
    <w:name w:val="page number"/>
    <w:basedOn w:val="Absatz-Standardschriftart"/>
    <w:uiPriority w:val="99"/>
    <w:semiHidden/>
    <w:unhideWhenUsed/>
  </w:style>
  <w:style w:type="paragraph" w:customStyle="1" w:styleId="scala">
    <w:name w:val="scala"/>
    <w:basedOn w:val="Kopfzeile"/>
    <w:pPr>
      <w:framePr w:w="1049" w:h="284" w:hRule="exact" w:wrap="around" w:vAnchor="page" w:hAnchor="page" w:y="1" w:anchorLock="1"/>
    </w:pPr>
  </w:style>
  <w:style w:type="paragraph" w:customStyle="1" w:styleId="RKISeitenzahllinke">
    <w:name w:val="__RKI_Seitenzahl_linke"/>
    <w:basedOn w:val="Kopfzeile"/>
    <w:qFormat/>
    <w:pPr>
      <w:framePr w:wrap="around" w:vAnchor="page" w:hAnchor="page" w:x="608" w:y="460" w:anchorLock="1"/>
      <w:ind w:left="-181" w:right="113"/>
      <w:jc w:val="right"/>
    </w:pPr>
    <w:rPr>
      <w:color w:val="FFFFFF" w:themeColor="background1"/>
      <w14:numForm w14:val="oldStyle"/>
    </w:rPr>
  </w:style>
  <w:style w:type="character" w:customStyle="1" w:styleId="berschrift1Zchn">
    <w:name w:val="Überschrift 1 Zchn"/>
    <w:aliases w:val="Scala Zchn"/>
    <w:basedOn w:val="Absatz-Standardschriftart"/>
    <w:link w:val="berschrift1"/>
    <w:uiPriority w:val="9"/>
    <w:rPr>
      <w:rFonts w:ascii="ScalaSansPro-Bold" w:eastAsiaTheme="majorEastAsia" w:hAnsi="ScalaSansPro-Bold" w:cstheme="majorBidi"/>
      <w:bCs/>
      <w:color w:val="045AA6"/>
      <w:sz w:val="32"/>
      <w:szCs w:val="32"/>
    </w:rPr>
  </w:style>
  <w:style w:type="paragraph" w:customStyle="1" w:styleId="RKISeitenzahlrechte">
    <w:name w:val="__RKI_Seitenzahl_rechte"/>
    <w:basedOn w:val="RKISeitenzahllinke"/>
    <w:qFormat/>
    <w:pPr>
      <w:framePr w:wrap="around"/>
      <w:ind w:left="113" w:right="-181"/>
      <w:jc w:val="left"/>
    </w:pPr>
  </w:style>
  <w:style w:type="paragraph" w:styleId="NurText">
    <w:name w:val="Plain Text"/>
    <w:basedOn w:val="Standard"/>
    <w:link w:val="NurTextZchn"/>
    <w:uiPriority w:val="99"/>
    <w:unhideWhenUsed/>
    <w:pPr>
      <w:spacing w:line="240" w:lineRule="auto"/>
      <w:ind w:left="0"/>
    </w:pPr>
    <w:rPr>
      <w:rFonts w:ascii="Calibri" w:eastAsiaTheme="minorHAnsi" w:hAnsi="Calibri"/>
      <w:sz w:val="22"/>
      <w:szCs w:val="21"/>
      <w:lang w:val="en-US" w:eastAsia="en-US"/>
    </w:rPr>
  </w:style>
  <w:style w:type="character" w:customStyle="1" w:styleId="NurTextZchn">
    <w:name w:val="Nur Text Zchn"/>
    <w:basedOn w:val="Absatz-Standardschriftart"/>
    <w:link w:val="NurText"/>
    <w:uiPriority w:val="99"/>
    <w:rPr>
      <w:rFonts w:ascii="Calibri" w:eastAsiaTheme="minorHAnsi" w:hAnsi="Calibri"/>
      <w:sz w:val="22"/>
      <w:szCs w:val="21"/>
      <w:lang w:val="en-US"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after="200" w:line="240" w:lineRule="auto"/>
      <w:ind w:left="0"/>
    </w:pPr>
    <w:rPr>
      <w:rFonts w:asciiTheme="minorHAnsi" w:eastAsiaTheme="minorHAnsi" w:hAnsiTheme="minorHAnsi"/>
      <w:lang w:val="en-US" w:eastAsia="en-US"/>
    </w:rPr>
  </w:style>
  <w:style w:type="character" w:customStyle="1" w:styleId="KommentartextZchn">
    <w:name w:val="Kommentartext Zchn"/>
    <w:basedOn w:val="Absatz-Standardschriftart"/>
    <w:link w:val="Kommentartext"/>
    <w:uiPriority w:val="99"/>
    <w:semiHidden/>
    <w:rPr>
      <w:rFonts w:eastAsiaTheme="minorHAnsi"/>
      <w:sz w:val="20"/>
      <w:szCs w:val="20"/>
      <w:lang w:val="en-US" w:eastAsia="en-US"/>
    </w:rPr>
  </w:style>
  <w:style w:type="table" w:styleId="Tabellenraster">
    <w:name w:val="Table Grid"/>
    <w:basedOn w:val="NormaleTabelle"/>
    <w:uiPriority w:val="59"/>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pPr>
      <w:spacing w:after="200" w:line="240" w:lineRule="auto"/>
      <w:ind w:left="0"/>
    </w:pPr>
    <w:rPr>
      <w:rFonts w:asciiTheme="minorHAnsi" w:eastAsiaTheme="minorHAnsi" w:hAnsiTheme="minorHAnsi"/>
      <w:i/>
      <w:iCs/>
      <w:color w:val="1F497D" w:themeColor="text2"/>
      <w:sz w:val="18"/>
      <w:szCs w:val="18"/>
      <w:lang w:val="en-US" w:eastAsia="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365F91" w:themeColor="accent1" w:themeShade="BF"/>
      <w:sz w:val="26"/>
      <w:szCs w:val="26"/>
    </w:rPr>
  </w:style>
  <w:style w:type="paragraph" w:styleId="Inhaltsverzeichnisberschrift">
    <w:name w:val="TOC Heading"/>
    <w:basedOn w:val="berschrift1"/>
    <w:next w:val="Standard"/>
    <w:uiPriority w:val="39"/>
    <w:unhideWhenUsed/>
    <w:qFormat/>
    <w:pPr>
      <w:spacing w:before="240" w:line="259" w:lineRule="auto"/>
      <w:ind w:left="0"/>
      <w:outlineLvl w:val="9"/>
    </w:pPr>
    <w:rPr>
      <w:rFonts w:asciiTheme="majorHAnsi" w:hAnsiTheme="majorHAnsi"/>
      <w:bCs w:val="0"/>
      <w:color w:val="365F91" w:themeColor="accent1" w:themeShade="BF"/>
    </w:rPr>
  </w:style>
  <w:style w:type="paragraph" w:styleId="Verzeichnis1">
    <w:name w:val="toc 1"/>
    <w:basedOn w:val="Standard"/>
    <w:next w:val="Standard"/>
    <w:autoRedefine/>
    <w:uiPriority w:val="39"/>
    <w:unhideWhenUsed/>
    <w:pPr>
      <w:spacing w:after="100"/>
      <w:ind w:left="0"/>
    </w:pPr>
  </w:style>
  <w:style w:type="paragraph" w:styleId="Verzeichnis2">
    <w:name w:val="toc 2"/>
    <w:basedOn w:val="Standard"/>
    <w:next w:val="Standard"/>
    <w:autoRedefine/>
    <w:uiPriority w:val="39"/>
    <w:unhideWhenUsed/>
    <w:pPr>
      <w:spacing w:after="100"/>
      <w:ind w:left="200"/>
    </w:pPr>
  </w:style>
  <w:style w:type="paragraph" w:styleId="Verzeichnis3">
    <w:name w:val="toc 3"/>
    <w:basedOn w:val="Standard"/>
    <w:next w:val="Standard"/>
    <w:autoRedefine/>
    <w:uiPriority w:val="39"/>
    <w:unhideWhenUsed/>
    <w:pPr>
      <w:spacing w:after="100"/>
      <w:ind w:left="400"/>
    </w:pPr>
  </w:style>
  <w:style w:type="character" w:styleId="Hyperlink">
    <w:name w:val="Hyperlink"/>
    <w:basedOn w:val="Absatz-Standardschriftart"/>
    <w:uiPriority w:val="99"/>
    <w:unhideWhenUsed/>
    <w:rPr>
      <w:color w:val="0000FF" w:themeColor="hyperlink"/>
      <w:u w:val="single"/>
    </w:rPr>
  </w:style>
  <w:style w:type="paragraph" w:styleId="Kommentarthema">
    <w:name w:val="annotation subject"/>
    <w:basedOn w:val="Kommentartext"/>
    <w:next w:val="Kommentartext"/>
    <w:link w:val="KommentarthemaZchn"/>
    <w:uiPriority w:val="99"/>
    <w:semiHidden/>
    <w:unhideWhenUsed/>
    <w:pPr>
      <w:spacing w:after="0"/>
      <w:ind w:left="-170"/>
    </w:pPr>
    <w:rPr>
      <w:rFonts w:ascii="ScalaSansPro-Regular" w:eastAsiaTheme="minorEastAsia" w:hAnsi="ScalaSansPro-Regular"/>
      <w:b/>
      <w:bCs/>
      <w:lang w:val="de-DE" w:eastAsia="de-DE"/>
    </w:rPr>
  </w:style>
  <w:style w:type="character" w:customStyle="1" w:styleId="KommentarthemaZchn">
    <w:name w:val="Kommentarthema Zchn"/>
    <w:basedOn w:val="KommentartextZchn"/>
    <w:link w:val="Kommentarthema"/>
    <w:uiPriority w:val="99"/>
    <w:semiHidden/>
    <w:rPr>
      <w:rFonts w:ascii="ScalaSansPro-Regular" w:eastAsiaTheme="minorHAnsi" w:hAnsi="ScalaSansPro-Regular"/>
      <w:b/>
      <w:bCs/>
      <w:sz w:val="20"/>
      <w:szCs w:val="20"/>
      <w:lang w:val="en-US" w:eastAsia="en-US"/>
    </w:rPr>
  </w:style>
  <w:style w:type="paragraph" w:styleId="StandardWeb">
    <w:name w:val="Normal (Web)"/>
    <w:basedOn w:val="Standard"/>
    <w:uiPriority w:val="99"/>
    <w:semiHidden/>
    <w:unhideWhenUsed/>
    <w:pPr>
      <w:spacing w:before="100" w:beforeAutospacing="1" w:after="100" w:afterAutospacing="1" w:line="240" w:lineRule="auto"/>
      <w:ind w:left="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643898">
      <w:bodyDiv w:val="1"/>
      <w:marLeft w:val="0"/>
      <w:marRight w:val="0"/>
      <w:marTop w:val="0"/>
      <w:marBottom w:val="0"/>
      <w:divBdr>
        <w:top w:val="none" w:sz="0" w:space="0" w:color="auto"/>
        <w:left w:val="none" w:sz="0" w:space="0" w:color="auto"/>
        <w:bottom w:val="none" w:sz="0" w:space="0" w:color="auto"/>
        <w:right w:val="none" w:sz="0" w:space="0" w:color="auto"/>
      </w:divBdr>
    </w:div>
    <w:div w:id="1640761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'2019_2020'!$I$70</c:f>
              <c:strCache>
                <c:ptCount val="1"/>
                <c:pt idx="0">
                  <c:v>HRV</c:v>
                </c:pt>
              </c:strCache>
            </c:strRef>
          </c:tx>
          <c:spPr>
            <a:ln w="15875" cap="rnd">
              <a:solidFill>
                <a:schemeClr val="accent1"/>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'2019_2020'!$I$71:$I$135</c:f>
              <c:numCache>
                <c:formatCode>General</c:formatCode>
                <c:ptCount val="65"/>
                <c:pt idx="0">
                  <c:v>43</c:v>
                </c:pt>
                <c:pt idx="1">
                  <c:v>38</c:v>
                </c:pt>
                <c:pt idx="2">
                  <c:v>34.4</c:v>
                </c:pt>
                <c:pt idx="3">
                  <c:v>33.299999999999997</c:v>
                </c:pt>
                <c:pt idx="4">
                  <c:v>39.700000000000003</c:v>
                </c:pt>
                <c:pt idx="5">
                  <c:v>37.6</c:v>
                </c:pt>
                <c:pt idx="6">
                  <c:v>23.3</c:v>
                </c:pt>
                <c:pt idx="7">
                  <c:v>27.4</c:v>
                </c:pt>
                <c:pt idx="8">
                  <c:v>24.51</c:v>
                </c:pt>
                <c:pt idx="9">
                  <c:v>19.05</c:v>
                </c:pt>
                <c:pt idx="10">
                  <c:v>21.43</c:v>
                </c:pt>
                <c:pt idx="11">
                  <c:v>17.579999999999998</c:v>
                </c:pt>
                <c:pt idx="12">
                  <c:v>17</c:v>
                </c:pt>
                <c:pt idx="13">
                  <c:v>11.63</c:v>
                </c:pt>
                <c:pt idx="14">
                  <c:v>7.89</c:v>
                </c:pt>
                <c:pt idx="15">
                  <c:v>10.199999999999999</c:v>
                </c:pt>
                <c:pt idx="16">
                  <c:v>9.09</c:v>
                </c:pt>
                <c:pt idx="17">
                  <c:v>5.39</c:v>
                </c:pt>
                <c:pt idx="18">
                  <c:v>4.57</c:v>
                </c:pt>
                <c:pt idx="19">
                  <c:v>6.51</c:v>
                </c:pt>
                <c:pt idx="20">
                  <c:v>3.66</c:v>
                </c:pt>
                <c:pt idx="21">
                  <c:v>6.11</c:v>
                </c:pt>
                <c:pt idx="22">
                  <c:v>7.98</c:v>
                </c:pt>
                <c:pt idx="23">
                  <c:v>7.38</c:v>
                </c:pt>
                <c:pt idx="24">
                  <c:v>6.28</c:v>
                </c:pt>
                <c:pt idx="25">
                  <c:v>9.77</c:v>
                </c:pt>
                <c:pt idx="26">
                  <c:v>7.92</c:v>
                </c:pt>
                <c:pt idx="27">
                  <c:v>4.88</c:v>
                </c:pt>
                <c:pt idx="28">
                  <c:v>0</c:v>
                </c:pt>
                <c:pt idx="29">
                  <c:v>6.06</c:v>
                </c:pt>
                <c:pt idx="30">
                  <c:v>0</c:v>
                </c:pt>
                <c:pt idx="31">
                  <c:v>0</c:v>
                </c:pt>
                <c:pt idx="32">
                  <c:v>0</c:v>
                </c:pt>
                <c:pt idx="33">
                  <c:v>7.69</c:v>
                </c:pt>
                <c:pt idx="34">
                  <c:v>0</c:v>
                </c:pt>
                <c:pt idx="35">
                  <c:v>9.09</c:v>
                </c:pt>
                <c:pt idx="36">
                  <c:v>22.22</c:v>
                </c:pt>
                <c:pt idx="37">
                  <c:v>28.57</c:v>
                </c:pt>
                <c:pt idx="38">
                  <c:v>34.090000000000003</c:v>
                </c:pt>
                <c:pt idx="39">
                  <c:v>46.3</c:v>
                </c:pt>
                <c:pt idx="40">
                  <c:v>71.430000000000007</c:v>
                </c:pt>
                <c:pt idx="41">
                  <c:v>67.5</c:v>
                </c:pt>
                <c:pt idx="42">
                  <c:v>76.59</c:v>
                </c:pt>
                <c:pt idx="43">
                  <c:v>48.39</c:v>
                </c:pt>
                <c:pt idx="44">
                  <c:v>46.67</c:v>
                </c:pt>
                <c:pt idx="45">
                  <c:v>47.62</c:v>
                </c:pt>
                <c:pt idx="46">
                  <c:v>55.26</c:v>
                </c:pt>
                <c:pt idx="47">
                  <c:v>61.11</c:v>
                </c:pt>
                <c:pt idx="48">
                  <c:v>58.82</c:v>
                </c:pt>
                <c:pt idx="49">
                  <c:v>76.19</c:v>
                </c:pt>
                <c:pt idx="50">
                  <c:v>61.36</c:v>
                </c:pt>
                <c:pt idx="51">
                  <c:v>43.63</c:v>
                </c:pt>
                <c:pt idx="52">
                  <c:v>69.64</c:v>
                </c:pt>
                <c:pt idx="53">
                  <c:v>49.09</c:v>
                </c:pt>
                <c:pt idx="54">
                  <c:v>60.61</c:v>
                </c:pt>
                <c:pt idx="55">
                  <c:v>44.44</c:v>
                </c:pt>
                <c:pt idx="56">
                  <c:v>45.28</c:v>
                </c:pt>
                <c:pt idx="57">
                  <c:v>44.23</c:v>
                </c:pt>
                <c:pt idx="58">
                  <c:v>24.42</c:v>
                </c:pt>
                <c:pt idx="59">
                  <c:v>15.5</c:v>
                </c:pt>
                <c:pt idx="60">
                  <c:v>16.7</c:v>
                </c:pt>
                <c:pt idx="61">
                  <c:v>19.68</c:v>
                </c:pt>
                <c:pt idx="62">
                  <c:v>25.99</c:v>
                </c:pt>
                <c:pt idx="63">
                  <c:v>30.1</c:v>
                </c:pt>
                <c:pt idx="64">
                  <c:v>19.72</c:v>
                </c:pt>
              </c:numCache>
            </c:numRef>
          </c:val>
          <c:smooth val="0"/>
          <c:extLst>
            <c:ext xmlns:c16="http://schemas.microsoft.com/office/drawing/2014/chart" uri="{C3380CC4-5D6E-409C-BE32-E72D297353CC}">
              <c16:uniqueId val="{00000000-3E6C-4D9F-BC58-525B56AD48AB}"/>
            </c:ext>
          </c:extLst>
        </c:ser>
        <c:ser>
          <c:idx val="1"/>
          <c:order val="1"/>
          <c:tx>
            <c:strRef>
              <c:f>'2019_2020'!$J$70</c:f>
              <c:strCache>
                <c:ptCount val="1"/>
                <c:pt idx="0">
                  <c:v>PIV</c:v>
                </c:pt>
              </c:strCache>
            </c:strRef>
          </c:tx>
          <c:spPr>
            <a:ln w="19050" cap="rnd">
              <a:solidFill>
                <a:schemeClr val="accent3">
                  <a:lumMod val="75000"/>
                </a:schemeClr>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'2019_2020'!$J$71:$J$135</c:f>
              <c:numCache>
                <c:formatCode>General</c:formatCode>
                <c:ptCount val="65"/>
                <c:pt idx="0">
                  <c:v>22</c:v>
                </c:pt>
                <c:pt idx="1">
                  <c:v>10.5</c:v>
                </c:pt>
                <c:pt idx="2">
                  <c:v>6.9</c:v>
                </c:pt>
                <c:pt idx="3">
                  <c:v>15.2</c:v>
                </c:pt>
                <c:pt idx="4">
                  <c:v>14.3</c:v>
                </c:pt>
                <c:pt idx="5">
                  <c:v>28.7</c:v>
                </c:pt>
                <c:pt idx="6">
                  <c:v>17.78</c:v>
                </c:pt>
                <c:pt idx="7">
                  <c:v>16.850000000000001</c:v>
                </c:pt>
                <c:pt idx="8">
                  <c:v>11.76</c:v>
                </c:pt>
                <c:pt idx="9">
                  <c:v>12.38</c:v>
                </c:pt>
                <c:pt idx="10">
                  <c:v>6.12</c:v>
                </c:pt>
                <c:pt idx="11">
                  <c:v>8.7899999999999991</c:v>
                </c:pt>
                <c:pt idx="12">
                  <c:v>4.3499999999999996</c:v>
                </c:pt>
                <c:pt idx="13">
                  <c:v>9.3000000000000007</c:v>
                </c:pt>
                <c:pt idx="14">
                  <c:v>4.3899999999999997</c:v>
                </c:pt>
                <c:pt idx="15">
                  <c:v>2.72</c:v>
                </c:pt>
                <c:pt idx="16">
                  <c:v>4.28</c:v>
                </c:pt>
                <c:pt idx="17">
                  <c:v>2.0699999999999998</c:v>
                </c:pt>
                <c:pt idx="18">
                  <c:v>2.74</c:v>
                </c:pt>
                <c:pt idx="19">
                  <c:v>0</c:v>
                </c:pt>
                <c:pt idx="20">
                  <c:v>2.09</c:v>
                </c:pt>
                <c:pt idx="21">
                  <c:v>0.87</c:v>
                </c:pt>
                <c:pt idx="22">
                  <c:v>0.38</c:v>
                </c:pt>
                <c:pt idx="23">
                  <c:v>0.82</c:v>
                </c:pt>
                <c:pt idx="24">
                  <c:v>1.45</c:v>
                </c:pt>
                <c:pt idx="25">
                  <c:v>0.75</c:v>
                </c:pt>
                <c:pt idx="26">
                  <c:v>2.97</c:v>
                </c:pt>
                <c:pt idx="27">
                  <c:v>0</c:v>
                </c:pt>
                <c:pt idx="28">
                  <c:v>0</c:v>
                </c:pt>
                <c:pt idx="29">
                  <c:v>0</c:v>
                </c:pt>
                <c:pt idx="30">
                  <c:v>0</c:v>
                </c:pt>
                <c:pt idx="31">
                  <c:v>0</c:v>
                </c:pt>
                <c:pt idx="32">
                  <c:v>0</c:v>
                </c:pt>
                <c:pt idx="33">
                  <c:v>0</c:v>
                </c:pt>
                <c:pt idx="34">
                  <c:v>0</c:v>
                </c:pt>
                <c:pt idx="35">
                  <c:v>0</c:v>
                </c:pt>
                <c:pt idx="36">
                  <c:v>0</c:v>
                </c:pt>
                <c:pt idx="37">
                  <c:v>2.38</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1</c:v>
                </c:pt>
                <c:pt idx="58">
                  <c:v>0</c:v>
                </c:pt>
                <c:pt idx="59">
                  <c:v>0</c:v>
                </c:pt>
                <c:pt idx="60">
                  <c:v>0</c:v>
                </c:pt>
                <c:pt idx="61">
                  <c:v>0</c:v>
                </c:pt>
                <c:pt idx="62">
                  <c:v>0</c:v>
                </c:pt>
                <c:pt idx="63">
                  <c:v>0</c:v>
                </c:pt>
                <c:pt idx="64">
                  <c:v>0</c:v>
                </c:pt>
              </c:numCache>
            </c:numRef>
          </c:val>
          <c:smooth val="0"/>
          <c:extLst>
            <c:ext xmlns:c16="http://schemas.microsoft.com/office/drawing/2014/chart" uri="{C3380CC4-5D6E-409C-BE32-E72D297353CC}">
              <c16:uniqueId val="{00000001-3E6C-4D9F-BC58-525B56AD48AB}"/>
            </c:ext>
          </c:extLst>
        </c:ser>
        <c:ser>
          <c:idx val="2"/>
          <c:order val="2"/>
          <c:tx>
            <c:strRef>
              <c:f>'2019_2020'!$K$70</c:f>
              <c:strCache>
                <c:ptCount val="1"/>
                <c:pt idx="0">
                  <c:v>HMPV</c:v>
                </c:pt>
              </c:strCache>
            </c:strRef>
          </c:tx>
          <c:spPr>
            <a:ln w="19050" cap="rnd">
              <a:solidFill>
                <a:schemeClr val="tx1">
                  <a:lumMod val="65000"/>
                  <a:lumOff val="35000"/>
                </a:schemeClr>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'2019_2020'!$K$71:$K$135</c:f>
              <c:numCache>
                <c:formatCode>General</c:formatCode>
                <c:ptCount val="65"/>
                <c:pt idx="0">
                  <c:v>0</c:v>
                </c:pt>
                <c:pt idx="1">
                  <c:v>6.6</c:v>
                </c:pt>
                <c:pt idx="2">
                  <c:v>0</c:v>
                </c:pt>
                <c:pt idx="3">
                  <c:v>0</c:v>
                </c:pt>
                <c:pt idx="4">
                  <c:v>0</c:v>
                </c:pt>
                <c:pt idx="5">
                  <c:v>0</c:v>
                </c:pt>
                <c:pt idx="6">
                  <c:v>3.33</c:v>
                </c:pt>
                <c:pt idx="7">
                  <c:v>1.05</c:v>
                </c:pt>
                <c:pt idx="8">
                  <c:v>8.82</c:v>
                </c:pt>
                <c:pt idx="9">
                  <c:v>1.9</c:v>
                </c:pt>
                <c:pt idx="10">
                  <c:v>5.0999999999999996</c:v>
                </c:pt>
                <c:pt idx="11">
                  <c:v>8.7899999999999991</c:v>
                </c:pt>
                <c:pt idx="12">
                  <c:v>4.3499999999999996</c:v>
                </c:pt>
                <c:pt idx="13">
                  <c:v>4.6500000000000004</c:v>
                </c:pt>
                <c:pt idx="14">
                  <c:v>6.26</c:v>
                </c:pt>
                <c:pt idx="15">
                  <c:v>6.12</c:v>
                </c:pt>
                <c:pt idx="16">
                  <c:v>9.09</c:v>
                </c:pt>
                <c:pt idx="17">
                  <c:v>11.2</c:v>
                </c:pt>
                <c:pt idx="18">
                  <c:v>10.96</c:v>
                </c:pt>
                <c:pt idx="19">
                  <c:v>7.91</c:v>
                </c:pt>
                <c:pt idx="20">
                  <c:v>10.47</c:v>
                </c:pt>
                <c:pt idx="21">
                  <c:v>7.86</c:v>
                </c:pt>
                <c:pt idx="22">
                  <c:v>6.46</c:v>
                </c:pt>
                <c:pt idx="23">
                  <c:v>5.74</c:v>
                </c:pt>
                <c:pt idx="24">
                  <c:v>3.86</c:v>
                </c:pt>
                <c:pt idx="25">
                  <c:v>7.52</c:v>
                </c:pt>
                <c:pt idx="26">
                  <c:v>7.92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numCache>
            </c:numRef>
          </c:val>
          <c:smooth val="0"/>
          <c:extLst>
            <c:ext xmlns:c16="http://schemas.microsoft.com/office/drawing/2014/chart" uri="{C3380CC4-5D6E-409C-BE32-E72D297353CC}">
              <c16:uniqueId val="{00000002-3E6C-4D9F-BC58-525B56AD48AB}"/>
            </c:ext>
          </c:extLst>
        </c:ser>
        <c:ser>
          <c:idx val="3"/>
          <c:order val="3"/>
          <c:tx>
            <c:strRef>
              <c:f>'2019_2020'!$L$70</c:f>
              <c:strCache>
                <c:ptCount val="1"/>
                <c:pt idx="0">
                  <c:v>RSV</c:v>
                </c:pt>
              </c:strCache>
            </c:strRef>
          </c:tx>
          <c:spPr>
            <a:ln w="19050" cap="rnd">
              <a:solidFill>
                <a:schemeClr val="accent4"/>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'2019_2020'!$L$71:$L$135</c:f>
              <c:numCache>
                <c:formatCode>General</c:formatCode>
                <c:ptCount val="65"/>
                <c:pt idx="0">
                  <c:v>0</c:v>
                </c:pt>
                <c:pt idx="1">
                  <c:v>0</c:v>
                </c:pt>
                <c:pt idx="2">
                  <c:v>0</c:v>
                </c:pt>
                <c:pt idx="3">
                  <c:v>1.5</c:v>
                </c:pt>
                <c:pt idx="4">
                  <c:v>0</c:v>
                </c:pt>
                <c:pt idx="5">
                  <c:v>0</c:v>
                </c:pt>
                <c:pt idx="6">
                  <c:v>0</c:v>
                </c:pt>
                <c:pt idx="7">
                  <c:v>3.16</c:v>
                </c:pt>
                <c:pt idx="8">
                  <c:v>2.94</c:v>
                </c:pt>
                <c:pt idx="9">
                  <c:v>3.81</c:v>
                </c:pt>
                <c:pt idx="10">
                  <c:v>3.01</c:v>
                </c:pt>
                <c:pt idx="11">
                  <c:v>7.69</c:v>
                </c:pt>
                <c:pt idx="12">
                  <c:v>13.04</c:v>
                </c:pt>
                <c:pt idx="13">
                  <c:v>11.63</c:v>
                </c:pt>
                <c:pt idx="14">
                  <c:v>1.75</c:v>
                </c:pt>
                <c:pt idx="15">
                  <c:v>2.04</c:v>
                </c:pt>
                <c:pt idx="16">
                  <c:v>7.49</c:v>
                </c:pt>
                <c:pt idx="17">
                  <c:v>5.39</c:v>
                </c:pt>
                <c:pt idx="18">
                  <c:v>8.2200000000000006</c:v>
                </c:pt>
                <c:pt idx="19">
                  <c:v>6.98</c:v>
                </c:pt>
                <c:pt idx="20">
                  <c:v>12.56</c:v>
                </c:pt>
                <c:pt idx="21">
                  <c:v>9.17</c:v>
                </c:pt>
                <c:pt idx="22">
                  <c:v>6.46</c:v>
                </c:pt>
                <c:pt idx="23">
                  <c:v>3.28</c:v>
                </c:pt>
                <c:pt idx="24">
                  <c:v>7.93</c:v>
                </c:pt>
                <c:pt idx="25">
                  <c:v>6.01</c:v>
                </c:pt>
                <c:pt idx="26">
                  <c:v>0.99</c:v>
                </c:pt>
                <c:pt idx="27">
                  <c:v>0</c:v>
                </c:pt>
                <c:pt idx="28">
                  <c:v>2.44</c:v>
                </c:pt>
                <c:pt idx="29">
                  <c:v>3.03</c:v>
                </c:pt>
                <c:pt idx="30">
                  <c:v>0</c:v>
                </c:pt>
                <c:pt idx="31">
                  <c:v>1.64</c:v>
                </c:pt>
                <c:pt idx="32">
                  <c:v>3.51</c:v>
                </c:pt>
                <c:pt idx="33">
                  <c:v>2.56</c:v>
                </c:pt>
                <c:pt idx="34">
                  <c:v>0</c:v>
                </c:pt>
                <c:pt idx="35">
                  <c:v>0</c:v>
                </c:pt>
                <c:pt idx="36">
                  <c:v>2.78</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numCache>
            </c:numRef>
          </c:val>
          <c:smooth val="0"/>
          <c:extLst>
            <c:ext xmlns:c16="http://schemas.microsoft.com/office/drawing/2014/chart" uri="{C3380CC4-5D6E-409C-BE32-E72D297353CC}">
              <c16:uniqueId val="{00000003-3E6C-4D9F-BC58-525B56AD48AB}"/>
            </c:ext>
          </c:extLst>
        </c:ser>
        <c:ser>
          <c:idx val="4"/>
          <c:order val="4"/>
          <c:tx>
            <c:strRef>
              <c:f>'2019_2020'!$M$70</c:f>
              <c:strCache>
                <c:ptCount val="1"/>
                <c:pt idx="0">
                  <c:v>SARS-CoV-2</c:v>
                </c:pt>
              </c:strCache>
            </c:strRef>
          </c:tx>
          <c:spPr>
            <a:ln w="28575" cap="rnd">
              <a:solidFill>
                <a:srgbClr val="FF0000"/>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'2019_2020'!$M$71:$M$135</c:f>
              <c:numCache>
                <c:formatCode>General</c:formatCode>
                <c:ptCount val="65"/>
                <c:pt idx="20">
                  <c:v>0</c:v>
                </c:pt>
                <c:pt idx="21">
                  <c:v>0</c:v>
                </c:pt>
                <c:pt idx="22">
                  <c:v>0.4</c:v>
                </c:pt>
                <c:pt idx="23">
                  <c:v>0.9</c:v>
                </c:pt>
                <c:pt idx="24">
                  <c:v>1.5</c:v>
                </c:pt>
                <c:pt idx="25">
                  <c:v>3.1</c:v>
                </c:pt>
                <c:pt idx="26">
                  <c:v>2</c:v>
                </c:pt>
                <c:pt idx="27">
                  <c:v>2.5</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1.82</c:v>
                </c:pt>
                <c:pt idx="52">
                  <c:v>1.79</c:v>
                </c:pt>
                <c:pt idx="53">
                  <c:v>5.45</c:v>
                </c:pt>
                <c:pt idx="54">
                  <c:v>0</c:v>
                </c:pt>
                <c:pt idx="55">
                  <c:v>0</c:v>
                </c:pt>
                <c:pt idx="56">
                  <c:v>5.66</c:v>
                </c:pt>
                <c:pt idx="57">
                  <c:v>3.84</c:v>
                </c:pt>
                <c:pt idx="58">
                  <c:v>2.33</c:v>
                </c:pt>
                <c:pt idx="59">
                  <c:v>2.1</c:v>
                </c:pt>
                <c:pt idx="60">
                  <c:v>5.2</c:v>
                </c:pt>
                <c:pt idx="61">
                  <c:v>10.64</c:v>
                </c:pt>
                <c:pt idx="62">
                  <c:v>11.06</c:v>
                </c:pt>
                <c:pt idx="63">
                  <c:v>8.6</c:v>
                </c:pt>
                <c:pt idx="64">
                  <c:v>15.49</c:v>
                </c:pt>
              </c:numCache>
            </c:numRef>
          </c:val>
          <c:smooth val="0"/>
          <c:extLst>
            <c:ext xmlns:c16="http://schemas.microsoft.com/office/drawing/2014/chart" uri="{C3380CC4-5D6E-409C-BE32-E72D297353CC}">
              <c16:uniqueId val="{00000004-3E6C-4D9F-BC58-525B56AD48AB}"/>
            </c:ext>
          </c:extLst>
        </c:ser>
        <c:dLbls>
          <c:showLegendKey val="0"/>
          <c:showVal val="0"/>
          <c:showCatName val="0"/>
          <c:showSerName val="0"/>
          <c:showPercent val="0"/>
          <c:showBubbleSize val="0"/>
        </c:dLbls>
        <c:smooth val="0"/>
        <c:axId val="559696960"/>
        <c:axId val="559697288"/>
      </c:lineChart>
      <c:catAx>
        <c:axId val="559696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Week 2019/20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9697288"/>
        <c:crosses val="autoZero"/>
        <c:auto val="1"/>
        <c:lblAlgn val="ctr"/>
        <c:lblOffset val="100"/>
        <c:tickLblSkip val="2"/>
        <c:noMultiLvlLbl val="0"/>
      </c:catAx>
      <c:valAx>
        <c:axId val="559697288"/>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Relative frequency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9696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AF57F-A4F5-465E-936E-03D4A1614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3431</Words>
  <Characters>21620</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Robert Koch-Institut</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Weber</dc:creator>
  <cp:lastModifiedBy>Grote, Ulrike</cp:lastModifiedBy>
  <cp:revision>17</cp:revision>
  <cp:lastPrinted>2015-11-27T15:24:00Z</cp:lastPrinted>
  <dcterms:created xsi:type="dcterms:W3CDTF">2021-01-04T13:19:00Z</dcterms:created>
  <dcterms:modified xsi:type="dcterms:W3CDTF">2021-01-04T14:54:00Z</dcterms:modified>
</cp:coreProperties>
</file>