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jc w:val="both"/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Aktualisierung der Empfehlungen zum KP-Management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Kleeblätter</w:t>
            </w: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Freistellung von Quarantäne für Geimpfte – wird in EU kontrovers diskutiert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 38, FG33 </w:t>
            </w:r>
          </w:p>
          <w:p>
            <w:r>
              <w:t>Eckmanns</w:t>
            </w:r>
          </w:p>
          <w:p/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Wiederaufnahme Flug-</w:t>
            </w:r>
            <w:proofErr w:type="spellStart"/>
            <w:r>
              <w:t>KoNafür</w:t>
            </w:r>
            <w:proofErr w:type="spellEnd"/>
            <w:r>
              <w:t xml:space="preserve"> Hochrisikoländer?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Corona-Schutz-VO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Corona-Einreise-VO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Muster-</w:t>
            </w:r>
            <w:proofErr w:type="spellStart"/>
            <w:r>
              <w:t>Quanrantäne</w:t>
            </w:r>
            <w:proofErr w:type="spellEnd"/>
            <w:r>
              <w:t>-VO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ind w:left="453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11.01.2021,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BD028C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2021-01-08T11:57:00Z</dcterms:created>
  <dcterms:modified xsi:type="dcterms:W3CDTF">2022-12-22T13:01:00Z</dcterms:modified>
</cp:coreProperties>
</file>