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Dashboard Differenzen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Briefentwurf an Bund der Arbeitgeber, Bund der Industrie (FG36)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P4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Wiederaufnahme Kontaktpersonennachverfolgung Flugverkehr aus UK und Südafrika</w:t>
            </w:r>
          </w:p>
          <w:p/>
        </w:tc>
        <w:tc>
          <w:tcPr>
            <w:tcW w:w="1809" w:type="dxa"/>
          </w:tcPr>
          <w:p>
            <w:r>
              <w:t>Alle</w:t>
            </w:r>
          </w:p>
          <w:p>
            <w:r>
              <w:t>FG38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FFP-2-Masken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Ergebnis WHO -TK v. 12.01. zu neuen Varianten (Buchholz)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Teilnehmer bestimmen f. Veranstaltung „</w:t>
            </w:r>
            <w:proofErr w:type="spellStart"/>
            <w:r>
              <w:t>coronafreien</w:t>
            </w:r>
            <w:proofErr w:type="spellEnd"/>
            <w:r>
              <w:t xml:space="preserve"> internationalen Mobilität“ der OECD am 14. Januar 2021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15.01.2021,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9F285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14</cp:revision>
  <cp:lastPrinted>2020-03-13T12:00:00Z</cp:lastPrinted>
  <dcterms:created xsi:type="dcterms:W3CDTF">2021-01-01T13:48:00Z</dcterms:created>
  <dcterms:modified xsi:type="dcterms:W3CDTF">2022-12-22T13:02:00Z</dcterms:modified>
</cp:coreProperties>
</file>