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1"/>
        <w:rPr>
          <w:rFonts w:ascii="Times New Roman" w:eastAsia="Times New Roman" w:hAnsi="Times New Roman" w:cs="Times New Roman"/>
          <w:b/>
          <w:bCs/>
          <w:sz w:val="36"/>
          <w:szCs w:val="36"/>
          <w:lang w:val="de-DE" w:eastAsia="de-DE"/>
        </w:rPr>
      </w:pPr>
      <w:r>
        <w:rPr>
          <w:rFonts w:ascii="Times New Roman" w:eastAsia="Times New Roman" w:hAnsi="Times New Roman" w:cs="Times New Roman"/>
          <w:b/>
          <w:bCs/>
          <w:sz w:val="36"/>
          <w:szCs w:val="36"/>
          <w:lang w:val="de-DE" w:eastAsia="de-DE"/>
        </w:rPr>
        <w:t>Welche Funktionen bzw. Einsatzbereiche haben FFP2-Masken außerhalb des Arbeitsschutzes?</w:t>
      </w:r>
    </w:p>
    <w:p>
      <w:pPr>
        <w:spacing w:before="100" w:beforeAutospacing="1" w:after="100" w:afterAutospacing="1" w:line="240" w:lineRule="auto"/>
        <w:rPr>
          <w:rFonts w:ascii="Times New Roman" w:eastAsia="Times New Roman" w:hAnsi="Times New Roman" w:cs="Times New Roman"/>
          <w:sz w:val="24"/>
          <w:szCs w:val="24"/>
          <w:lang w:val="de-DE" w:eastAsia="de-DE"/>
        </w:rPr>
      </w:pP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 xml:space="preserve">In welchen Situationen werden FFP2-Masken im Arbeitskontext getragen?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Das Tragen von FFP2-(bzw. FFP3-)Masken durch </w:t>
      </w:r>
      <w:r>
        <w:rPr>
          <w:rFonts w:ascii="Times New Roman" w:eastAsia="Times New Roman" w:hAnsi="Times New Roman" w:cs="Times New Roman"/>
          <w:b/>
          <w:bCs/>
          <w:sz w:val="24"/>
          <w:szCs w:val="24"/>
          <w:lang w:val="de-DE" w:eastAsia="de-DE"/>
        </w:rPr>
        <w:t>geschultes Personal wird u.a. im medizinischen und handwerklichen Bereich</w:t>
      </w:r>
      <w:r>
        <w:rPr>
          <w:rFonts w:ascii="Times New Roman" w:eastAsia="Times New Roman" w:hAnsi="Times New Roman" w:cs="Times New Roman"/>
          <w:sz w:val="24"/>
          <w:szCs w:val="24"/>
          <w:lang w:val="de-DE" w:eastAsia="de-DE"/>
        </w:rPr>
        <w:t xml:space="preserve"> im Rahmen des Arbeitsschutzes vorgeschrieben. Grund dafür kann z.B. eine patientennahe Tätigkeit mit erhöhtem Übertragungsrisiko durch Aerosolproduktion (z.B. bei einer Intubation) sein. </w:t>
      </w:r>
      <w:commentRangeStart w:id="0"/>
      <w:r>
        <w:rPr>
          <w:rFonts w:ascii="Times New Roman" w:eastAsia="Times New Roman" w:hAnsi="Times New Roman" w:cs="Times New Roman"/>
          <w:sz w:val="24"/>
          <w:szCs w:val="24"/>
          <w:lang w:val="de-DE" w:eastAsia="de-DE"/>
        </w:rPr>
        <w:t xml:space="preserve">Siehe hierzu auch die </w:t>
      </w:r>
      <w:r>
        <w:fldChar w:fldCharType="begin"/>
      </w:r>
      <w:r>
        <w:rPr>
          <w:lang w:val="de-DE"/>
          <w:rPrChange w:id="1" w:author="Brunke, Melanie" w:date="2021-01-22T10:37:00Z">
            <w:rPr/>
          </w:rPrChange>
        </w:rPr>
        <w:instrText xml:space="preserve"> HYPERLINK "https://www.baua.de/DE/Themen/Arbeitsgestaltung-im-Betrieb/Coronavirus/pdf/Schutzmasken.pdf" \o "Externer Link Empfehlungen der BAuA zum Einsatz von Schutzmasken im Zusammenhang mit SARS-CoV-2   (Öffnet neues Fenster)" </w:instrText>
      </w:r>
      <w:r>
        <w:fldChar w:fldCharType="separate"/>
      </w:r>
      <w:r>
        <w:rPr>
          <w:rFonts w:ascii="Times New Roman" w:eastAsia="Times New Roman" w:hAnsi="Times New Roman" w:cs="Times New Roman"/>
          <w:color w:val="0000FF"/>
          <w:sz w:val="24"/>
          <w:szCs w:val="24"/>
          <w:u w:val="single"/>
          <w:lang w:val="de-DE" w:eastAsia="de-DE"/>
        </w:rPr>
        <w:t>Empfehlungen der Bundesanstalt für Arbeitsschutz und Arbeitsmedizin (</w:t>
      </w:r>
      <w:proofErr w:type="spellStart"/>
      <w:r>
        <w:rPr>
          <w:rFonts w:ascii="Times New Roman" w:eastAsia="Times New Roman" w:hAnsi="Times New Roman" w:cs="Times New Roman"/>
          <w:color w:val="0000FF"/>
          <w:sz w:val="24"/>
          <w:szCs w:val="24"/>
          <w:u w:val="single"/>
          <w:lang w:val="de-DE" w:eastAsia="de-DE"/>
        </w:rPr>
        <w:t>BAuA</w:t>
      </w:r>
      <w:proofErr w:type="spellEnd"/>
      <w:r>
        <w:rPr>
          <w:rFonts w:ascii="Times New Roman" w:eastAsia="Times New Roman" w:hAnsi="Times New Roman" w:cs="Times New Roman"/>
          <w:color w:val="0000FF"/>
          <w:sz w:val="24"/>
          <w:szCs w:val="24"/>
          <w:u w:val="single"/>
          <w:lang w:val="de-DE" w:eastAsia="de-DE"/>
        </w:rPr>
        <w:t>) und des ad-Hoc Arbeitskreises „Covid-19“ des Ausschusses für Biologische Arbeitsstoffe (ABAS) zum Einsatz von Schutzmasken im Zusammenhang mit SARS-CoV-2</w:t>
      </w:r>
      <w:r>
        <w:rPr>
          <w:rFonts w:ascii="Times New Roman" w:eastAsia="Times New Roman" w:hAnsi="Times New Roman" w:cs="Times New Roman"/>
          <w:color w:val="0000FF"/>
          <w:sz w:val="24"/>
          <w:szCs w:val="24"/>
          <w:u w:val="single"/>
          <w:lang w:val="de-DE" w:eastAsia="de-DE"/>
        </w:rPr>
        <w:fldChar w:fldCharType="end"/>
      </w:r>
      <w:r>
        <w:rPr>
          <w:rFonts w:ascii="Times New Roman" w:eastAsia="Times New Roman" w:hAnsi="Times New Roman" w:cs="Times New Roman"/>
          <w:sz w:val="24"/>
          <w:szCs w:val="24"/>
          <w:lang w:val="de-DE" w:eastAsia="de-DE"/>
        </w:rPr>
        <w:t>. Diese empfehlen FFP2-Masken nicht zur privaten Nutzung.</w:t>
      </w:r>
      <w:commentRangeEnd w:id="0"/>
      <w:r>
        <w:rPr>
          <w:rStyle w:val="Kommentarzeichen"/>
        </w:rPr>
        <w:commentReference w:id="0"/>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Wie werden FFP2-Masken im Arbeitskontext getragen?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Der Schutzeffekt der FFP2-Maske ist nur dann gewährleistet, wenn sie durchgehend und dicht sitzend (d.h. passend zur Gesichtsform und abschließend auf der Haut) getragen wird. Im Rahmen des Arbeitsschutzes wird der Dichtsitz der Maske durch den sogenannten FIT-Test sichergestellt. Beim </w:t>
      </w:r>
      <w:r>
        <w:rPr>
          <w:rFonts w:ascii="Times New Roman" w:eastAsia="Times New Roman" w:hAnsi="Times New Roman" w:cs="Times New Roman"/>
          <w:b/>
          <w:bCs/>
          <w:sz w:val="24"/>
          <w:szCs w:val="24"/>
          <w:lang w:val="de-DE" w:eastAsia="de-DE"/>
        </w:rPr>
        <w:t>korrekten Einsatz von FFP2-Masken</w:t>
      </w:r>
      <w:r>
        <w:rPr>
          <w:rFonts w:ascii="Times New Roman" w:eastAsia="Times New Roman" w:hAnsi="Times New Roman" w:cs="Times New Roman"/>
          <w:sz w:val="24"/>
          <w:szCs w:val="24"/>
          <w:lang w:val="de-DE" w:eastAsia="de-DE"/>
        </w:rPr>
        <w:t xml:space="preserve"> besteht ein erhöhter Atemwiderstand, der die Atmung erschwert. Deswegen sollte vor dem Tragen eine arbeitsmedizinische Vorsorgeuntersuchung angeboten werden, um Risiken für den Anwender individuell medizinisch zu bewerten. Gemäß den Vorgaben des Arbeitsschutzes ist die durchgehende Tragedauer von FFP2-Masken bei gesunden Menschen begrenzt (siehe Herstellerinformationen, in der Regel 75 Minuten mit folgender 30-minütiger Pause). Dies minimiert die Belastung des Arbeitnehmers durch den erhöhten Atemwiderstand. Weiterhin sollten FFP2-Masken bestimmungsgemäß nicht mehrfach verwendet werden, da es sich i.d.R. um Einmalprodukte handelt.</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ist aus wissenschaftlichen Untersuchungen über die gesundheitlichen Auswirkungen von FFP2-Masken bekannt?</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FFP2-Masken kamen bisher zweckbestimmt und zielgerichtet im Rahmen des Arbeitsschutzes zum Einsatz. Daher wurden außerhalb des Gesundheitswesens noch keine Untersuchungen zu den gesundheitlichen, gegebenenfalls auch langfristigen Auswirkungen ihrer Anwendung (z.B. bei vulnerablen Personengruppen oder Kindern) durchgeführt. In Untersuchungen mit Gesundheitspersonal wurden Nebenwirkungen wie z.B. Atembeschwerden oder Gesichtsdermatitis infolge des abschließenden Dichtsitzes beschrieben. </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sollte beim Einsatz von FFP2-Masken bei vulnerablen Personengruppen beachtet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Beim Einsatz von FFP2-Masken bei Personen mit z.B. eingeschränkter Lungenfunktion oder älteren Personen sind negative gesundheitliche Auswirkungen nicht auszuschließen. </w:t>
      </w:r>
      <w:r>
        <w:rPr>
          <w:rFonts w:ascii="Times New Roman" w:eastAsia="Times New Roman" w:hAnsi="Times New Roman" w:cs="Times New Roman"/>
          <w:sz w:val="24"/>
          <w:szCs w:val="24"/>
          <w:lang w:val="de-DE" w:eastAsia="de-DE"/>
        </w:rPr>
        <w:t xml:space="preserve">Das Tragen von FFP2-Masken durch Personen, die einer vulnerablen Personengruppe angehören, sollte möglichst ärztlich begleitet werden, um einen korrekten Dichtsitz zu gewährleisten. Die Anwender*innen sollten über das korrekte und ggf. einmalige Tragen, die Handhabung und die Risiken aufgeklärt werden. Zudem sollten die für die </w:t>
      </w:r>
      <w:r>
        <w:rPr>
          <w:rFonts w:ascii="Times New Roman" w:eastAsia="Times New Roman" w:hAnsi="Times New Roman" w:cs="Times New Roman"/>
          <w:sz w:val="24"/>
          <w:szCs w:val="24"/>
          <w:lang w:val="de-DE" w:eastAsia="de-DE"/>
        </w:rPr>
        <w:lastRenderedPageBreak/>
        <w:t>Träger*innen vertretbaren Tragedauern unter Berücksichtigung der Herstellerangaben individuell festgelegt werden, um mögliche gesundheitliche Auswirkungen zu minimieren.</w:t>
      </w:r>
    </w:p>
    <w:p>
      <w:pPr>
        <w:spacing w:before="100" w:beforeAutospacing="1" w:after="100" w:afterAutospacing="1" w:line="240" w:lineRule="auto"/>
        <w:rPr>
          <w:rFonts w:ascii="Times New Roman" w:eastAsia="Times New Roman" w:hAnsi="Times New Roman" w:cs="Times New Roman"/>
          <w:sz w:val="24"/>
          <w:szCs w:val="24"/>
          <w:lang w:val="de-DE" w:eastAsia="de-DE"/>
        </w:rPr>
      </w:pPr>
      <w:commentRangeStart w:id="2"/>
      <w:r>
        <w:rPr>
          <w:rFonts w:ascii="Times New Roman" w:eastAsia="Times New Roman" w:hAnsi="Times New Roman" w:cs="Times New Roman"/>
          <w:i/>
          <w:sz w:val="24"/>
          <w:szCs w:val="24"/>
          <w:lang w:val="de-DE" w:eastAsia="de-DE"/>
        </w:rPr>
        <w:t>Unter welchen Bedingungen ist die Anwendung von FFP2-Masken durch Laien denkbar, um die Virenübertragung zu vermindern?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Die </w:t>
      </w:r>
      <w:r>
        <w:rPr>
          <w:rFonts w:ascii="Times New Roman" w:eastAsia="Times New Roman" w:hAnsi="Times New Roman" w:cs="Times New Roman"/>
          <w:b/>
          <w:sz w:val="24"/>
          <w:szCs w:val="24"/>
          <w:lang w:val="de-DE" w:eastAsia="de-DE"/>
        </w:rPr>
        <w:t>Anwendung von FFP2-Masken durch Laien</w:t>
      </w:r>
      <w:r>
        <w:rPr>
          <w:rFonts w:ascii="Times New Roman" w:eastAsia="Times New Roman" w:hAnsi="Times New Roman" w:cs="Times New Roman"/>
          <w:sz w:val="24"/>
          <w:szCs w:val="24"/>
          <w:lang w:val="de-DE" w:eastAsia="de-DE"/>
        </w:rPr>
        <w:t xml:space="preserve"> </w:t>
      </w:r>
      <w:ins w:id="3" w:author="Brunke, Melanie" w:date="2021-01-22T10:37:00Z">
        <w:r>
          <w:rPr>
            <w:rFonts w:ascii="Times New Roman" w:eastAsia="Times New Roman" w:hAnsi="Times New Roman" w:cs="Times New Roman"/>
            <w:sz w:val="24"/>
            <w:szCs w:val="24"/>
            <w:lang w:val="de-DE" w:eastAsia="de-DE"/>
          </w:rPr>
          <w:t>als „medizinis</w:t>
        </w:r>
      </w:ins>
      <w:ins w:id="4" w:author="Brunke, Melanie" w:date="2021-01-22T10:38:00Z">
        <w:r>
          <w:rPr>
            <w:rFonts w:ascii="Times New Roman" w:eastAsia="Times New Roman" w:hAnsi="Times New Roman" w:cs="Times New Roman"/>
            <w:sz w:val="24"/>
            <w:szCs w:val="24"/>
            <w:lang w:val="de-DE" w:eastAsia="de-DE"/>
          </w:rPr>
          <w:t>che Maske</w:t>
        </w:r>
      </w:ins>
      <w:ins w:id="5" w:author="Brunke, Melanie" w:date="2021-01-22T10:37:00Z">
        <w:r>
          <w:rPr>
            <w:rFonts w:ascii="Times New Roman" w:eastAsia="Times New Roman" w:hAnsi="Times New Roman" w:cs="Times New Roman"/>
            <w:sz w:val="24"/>
            <w:szCs w:val="24"/>
            <w:lang w:val="de-DE" w:eastAsia="de-DE"/>
          </w:rPr>
          <w:t>“</w:t>
        </w:r>
      </w:ins>
      <w:ins w:id="6" w:author="Brunke, Melanie" w:date="2021-01-22T10:38:00Z">
        <w:r>
          <w:rPr>
            <w:rFonts w:ascii="Times New Roman" w:eastAsia="Times New Roman" w:hAnsi="Times New Roman" w:cs="Times New Roman"/>
            <w:sz w:val="24"/>
            <w:szCs w:val="24"/>
            <w:lang w:val="de-DE" w:eastAsia="de-DE"/>
          </w:rPr>
          <w:t xml:space="preserve"> </w:t>
        </w:r>
      </w:ins>
      <w:bookmarkStart w:id="7" w:name="_GoBack"/>
      <w:bookmarkEnd w:id="7"/>
      <w:r>
        <w:rPr>
          <w:rFonts w:ascii="Times New Roman" w:eastAsia="Times New Roman" w:hAnsi="Times New Roman" w:cs="Times New Roman"/>
          <w:sz w:val="24"/>
          <w:szCs w:val="24"/>
          <w:lang w:val="de-DE" w:eastAsia="de-DE"/>
        </w:rPr>
        <w:t xml:space="preserve">ist denkbar, wenn sichergestellt ist, dass A) die Medizin- und Pflegebereiche prioritär mit FFP2-Masken versorgt werden, B) die individuelle gesundheitliche Eignung sichergestellt ist und C) der Dichtsitz und die korrekte Handhabung </w:t>
      </w:r>
      <w:commentRangeStart w:id="8"/>
      <w:r>
        <w:rPr>
          <w:rFonts w:ascii="Times New Roman" w:eastAsia="Times New Roman" w:hAnsi="Times New Roman" w:cs="Times New Roman"/>
          <w:sz w:val="24"/>
          <w:szCs w:val="24"/>
          <w:lang w:val="de-DE" w:eastAsia="de-DE"/>
        </w:rPr>
        <w:t xml:space="preserve">(z.B. das einmalige Tragen) </w:t>
      </w:r>
      <w:commentRangeEnd w:id="8"/>
      <w:r>
        <w:rPr>
          <w:rStyle w:val="Kommentarzeichen"/>
        </w:rPr>
        <w:commentReference w:id="8"/>
      </w:r>
      <w:r>
        <w:rPr>
          <w:rFonts w:ascii="Times New Roman" w:eastAsia="Times New Roman" w:hAnsi="Times New Roman" w:cs="Times New Roman"/>
          <w:sz w:val="24"/>
          <w:szCs w:val="24"/>
          <w:lang w:val="de-DE" w:eastAsia="de-DE"/>
        </w:rPr>
        <w:t xml:space="preserve">gewährleistet ist. </w:t>
      </w:r>
    </w:p>
    <w:p>
      <w:pPr>
        <w:spacing w:before="100" w:beforeAutospacing="1" w:after="100" w:afterAutospacing="1" w:line="240" w:lineRule="auto"/>
        <w:rPr>
          <w:rFonts w:ascii="Times New Roman" w:eastAsia="Times New Roman" w:hAnsi="Times New Roman" w:cs="Times New Roman"/>
          <w:i/>
          <w:sz w:val="24"/>
          <w:szCs w:val="24"/>
          <w:lang w:val="de-DE" w:eastAsia="de-DE"/>
        </w:rPr>
      </w:pPr>
      <w:r>
        <w:rPr>
          <w:rFonts w:ascii="Times New Roman" w:eastAsia="Times New Roman" w:hAnsi="Times New Roman" w:cs="Times New Roman"/>
          <w:i/>
          <w:sz w:val="24"/>
          <w:szCs w:val="24"/>
          <w:lang w:val="de-DE" w:eastAsia="de-DE"/>
        </w:rPr>
        <w:t>Was muss im Zusammenhang mit der Anwendung von FFP2-Masken durch Laien zusätzlich berücksichtigt werden?</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Bisher wurden keine wissenschaftlichen Untersuchungen über den möglichen Effekt einer solchen Maßnahme gemacht</w:t>
      </w:r>
      <w:commentRangeEnd w:id="2"/>
      <w:r>
        <w:rPr>
          <w:rStyle w:val="Kommentarzeichen"/>
        </w:rPr>
        <w:commentReference w:id="2"/>
      </w:r>
      <w:r>
        <w:rPr>
          <w:rFonts w:ascii="Times New Roman" w:eastAsia="Times New Roman" w:hAnsi="Times New Roman" w:cs="Times New Roman"/>
          <w:sz w:val="24"/>
          <w:szCs w:val="24"/>
          <w:lang w:val="de-DE"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b/>
          <w:sz w:val="24"/>
          <w:szCs w:val="24"/>
          <w:lang w:val="de-DE" w:eastAsia="de-DE"/>
        </w:rPr>
        <w:t xml:space="preserve">Bei der Anwendung durch Laien ist ein Eigenschutz über den Effekt eines korrekt getragenen Mund-Nasen-Schutzes hinaus daher nicht zwangsläufig gegeben. </w:t>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Im Kontext der allgemeinen Infektionsschutzmaßnahmen stellt das Tragen von Masken eine wichtige Einzelmaßnahme da, die alleine weniger effektiv ist als in der Kombination mit weiteren Maßnahmen. Deshalb sollte das Tragen von Masken keinesfalls dazu führen, dass andere Komponenten der AHA+L-Regeln vernachlässigt werden oder Risiken sogar bewusst in Kauf genommen werden. Risiken wie z.B. die Erhöhung der Personendichte in geschlossenen Räumen mit schlechter Belüftung, oder die Wahrnehmung nicht zwingend erforderlicher persönlicher Kontakte sollten nicht aufgrund der Maske in Kauf genommen werden. </w:t>
      </w:r>
    </w:p>
    <w:p>
      <w:pPr>
        <w:spacing w:before="100" w:beforeAutospacing="1" w:after="100" w:afterAutospacing="1" w:line="240" w:lineRule="auto"/>
        <w:rPr>
          <w:ins w:id="9" w:author="Brunke, Melanie" w:date="2021-01-22T06:47:00Z"/>
          <w:rFonts w:ascii="Times New Roman" w:hAnsi="Times New Roman" w:cs="Times New Roman"/>
          <w:lang w:val="de-DE"/>
        </w:rPr>
      </w:pPr>
      <w:r>
        <w:rPr>
          <w:rFonts w:ascii="Times New Roman" w:eastAsia="Times New Roman" w:hAnsi="Times New Roman" w:cs="Times New Roman"/>
          <w:sz w:val="24"/>
          <w:szCs w:val="24"/>
          <w:lang w:val="de-DE" w:eastAsia="de-DE"/>
        </w:rPr>
        <w:t xml:space="preserve">In der Allgemeinbevölkerung ist die Mund-Nasen-Bedeckung eine akzeptierte, verfügbare und einfach zu handhabende Maßnahme (siehe auch das FAQ </w:t>
      </w:r>
      <w:r>
        <w:rPr>
          <w:rFonts w:ascii="Times New Roman" w:hAnsi="Times New Roman" w:cs="Times New Roman"/>
          <w:lang w:val="de-DE"/>
        </w:rPr>
        <w:t xml:space="preserve">“ </w:t>
      </w:r>
      <w:commentRangeStart w:id="10"/>
      <w:r>
        <w:rPr>
          <w:rFonts w:ascii="Times New Roman" w:hAnsi="Times New Roman" w:cs="Times New Roman"/>
          <w:lang w:val="de-DE"/>
        </w:rPr>
        <w:t>Was ist beim Tragen einer Mund-Nasen-Bedeckung bzw. eines Mund-Nasen-Schutzes in der Öffentlichkeit zu beachten?”)</w:t>
      </w:r>
      <w:commentRangeEnd w:id="10"/>
      <w:r>
        <w:rPr>
          <w:rStyle w:val="Kommentarzeichen"/>
          <w:rFonts w:ascii="Times New Roman" w:hAnsi="Times New Roman" w:cs="Times New Roman"/>
        </w:rPr>
        <w:commentReference w:id="10"/>
      </w:r>
    </w:p>
    <w:p>
      <w:pPr>
        <w:spacing w:before="100" w:beforeAutospacing="1" w:after="100" w:afterAutospacing="1" w:line="240" w:lineRule="auto"/>
        <w:rPr>
          <w:rFonts w:ascii="Times New Roman" w:eastAsia="Times New Roman" w:hAnsi="Times New Roman" w:cs="Times New Roman"/>
          <w:sz w:val="24"/>
          <w:szCs w:val="24"/>
          <w:lang w:val="de-DE" w:eastAsia="de-DE"/>
        </w:rPr>
      </w:pPr>
      <w:ins w:id="11" w:author="Brunke, Melanie" w:date="2021-01-22T06:48:00Z">
        <w:r>
          <w:rPr>
            <w:rFonts w:ascii="Times New Roman" w:eastAsia="Times New Roman" w:hAnsi="Times New Roman" w:cs="Times New Roman"/>
            <w:sz w:val="24"/>
            <w:szCs w:val="24"/>
            <w:lang w:val="de-DE" w:eastAsia="de-DE"/>
          </w:rPr>
          <w:t>Siehe auch</w:t>
        </w:r>
      </w:ins>
      <w:ins w:id="12" w:author="Brunke, Melanie" w:date="2021-01-22T06:49:00Z">
        <w:r>
          <w:rPr>
            <w:rFonts w:ascii="Times New Roman" w:eastAsia="Times New Roman" w:hAnsi="Times New Roman" w:cs="Times New Roman"/>
            <w:sz w:val="24"/>
            <w:szCs w:val="24"/>
            <w:lang w:val="de-DE" w:eastAsia="de-DE"/>
          </w:rPr>
          <w:t xml:space="preserve"> die</w:t>
        </w:r>
      </w:ins>
      <w:ins w:id="13" w:author="Brunke, Melanie" w:date="2021-01-22T06:48:00Z">
        <w:r>
          <w:rPr>
            <w:rFonts w:ascii="Times New Roman" w:eastAsia="Times New Roman" w:hAnsi="Times New Roman" w:cs="Times New Roman"/>
            <w:sz w:val="24"/>
            <w:szCs w:val="24"/>
            <w:lang w:val="de-DE" w:eastAsia="de-DE"/>
          </w:rPr>
          <w:t xml:space="preserve"> </w:t>
        </w:r>
        <w:commentRangeStart w:id="14"/>
        <w:r>
          <w:rPr>
            <w:rFonts w:ascii="Times New Roman" w:eastAsia="Times New Roman" w:hAnsi="Times New Roman" w:cs="Times New Roman"/>
            <w:sz w:val="24"/>
            <w:szCs w:val="24"/>
            <w:lang w:val="de-DE" w:eastAsia="de-DE"/>
          </w:rPr>
          <w:t>Hinweise des Bundesinstituts für Arzneim</w:t>
        </w:r>
      </w:ins>
      <w:ins w:id="15" w:author="Brunke, Melanie" w:date="2021-01-22T06:49:00Z">
        <w:r>
          <w:rPr>
            <w:rFonts w:ascii="Times New Roman" w:eastAsia="Times New Roman" w:hAnsi="Times New Roman" w:cs="Times New Roman"/>
            <w:sz w:val="24"/>
            <w:szCs w:val="24"/>
            <w:lang w:val="de-DE" w:eastAsia="de-DE"/>
          </w:rPr>
          <w:t>ittel und Medizinprodukte (B</w:t>
        </w:r>
      </w:ins>
      <w:ins w:id="16" w:author="Brunke, Melanie" w:date="2021-01-22T06:48:00Z">
        <w:r>
          <w:rPr>
            <w:rFonts w:ascii="Times New Roman" w:eastAsia="Times New Roman" w:hAnsi="Times New Roman" w:cs="Times New Roman"/>
            <w:sz w:val="24"/>
            <w:szCs w:val="24"/>
            <w:lang w:val="de-DE" w:eastAsia="de-DE"/>
          </w:rPr>
          <w:t>fArM</w:t>
        </w:r>
      </w:ins>
      <w:ins w:id="17" w:author="Brunke, Melanie" w:date="2021-01-22T06:49:00Z">
        <w:r>
          <w:rPr>
            <w:rFonts w:ascii="Times New Roman" w:eastAsia="Times New Roman" w:hAnsi="Times New Roman" w:cs="Times New Roman"/>
            <w:sz w:val="24"/>
            <w:szCs w:val="24"/>
            <w:lang w:val="de-DE" w:eastAsia="de-DE"/>
          </w:rPr>
          <w:t>)</w:t>
        </w:r>
      </w:ins>
      <w:ins w:id="18" w:author="Brunke, Melanie" w:date="2021-01-22T06:48:00Z">
        <w:r>
          <w:rPr>
            <w:rFonts w:ascii="Times New Roman" w:eastAsia="Times New Roman" w:hAnsi="Times New Roman" w:cs="Times New Roman"/>
            <w:sz w:val="24"/>
            <w:szCs w:val="24"/>
            <w:lang w:val="de-DE" w:eastAsia="de-DE"/>
          </w:rPr>
          <w:t xml:space="preserve"> zur Verwendung von Mund-Nasen-Bedeckungen, medizinischen Gesichtsmasken sowie partikelfiltrierenden Halbmasken (FFP-Masken)</w:t>
        </w:r>
      </w:ins>
      <w:commentRangeEnd w:id="14"/>
      <w:ins w:id="19" w:author="Brunke, Melanie" w:date="2021-01-22T06:49:00Z">
        <w:r>
          <w:rPr>
            <w:rStyle w:val="Kommentarzeichen"/>
          </w:rPr>
          <w:commentReference w:id="14"/>
        </w:r>
        <w:r>
          <w:rPr>
            <w:rFonts w:ascii="Times New Roman" w:eastAsia="Times New Roman" w:hAnsi="Times New Roman" w:cs="Times New Roman"/>
            <w:sz w:val="24"/>
            <w:szCs w:val="24"/>
            <w:lang w:val="de-DE" w:eastAsia="de-DE"/>
          </w:rPr>
          <w:t>.</w:t>
        </w:r>
      </w:ins>
      <w:ins w:id="20" w:author="Brunke, Melanie" w:date="2021-01-22T06:47:00Z">
        <w:r>
          <w:rPr>
            <w:rFonts w:ascii="Times New Roman" w:eastAsia="Times New Roman" w:hAnsi="Times New Roman" w:cs="Times New Roman"/>
            <w:sz w:val="24"/>
            <w:szCs w:val="24"/>
            <w:lang w:val="de-DE"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 xml:space="preserve">Es ist zudem nicht auszuschließen, dass es bei fortschreitendem Infektionsgeschehen wie zu Beginn der Pandemie zu Engpässen in der Versorgung mit FFP2-Masken im Gesundheitswesen, kommen könnte. Siehe auch die Stellungnahmen der </w:t>
      </w:r>
      <w:commentRangeStart w:id="21"/>
      <w:r>
        <w:rPr>
          <w:rFonts w:ascii="Times New Roman" w:hAnsi="Times New Roman" w:cs="Times New Roman"/>
          <w:sz w:val="24"/>
          <w:szCs w:val="24"/>
          <w:lang w:val="de-DE"/>
        </w:rPr>
        <w:t xml:space="preserve">Deutschen Gesellschaft für Hygiene und Mikrobiologie </w:t>
      </w:r>
      <w:commentRangeEnd w:id="21"/>
      <w:r>
        <w:rPr>
          <w:rStyle w:val="Kommentarzeichen"/>
        </w:rPr>
        <w:commentReference w:id="21"/>
      </w:r>
      <w:r>
        <w:rPr>
          <w:rFonts w:ascii="Times New Roman" w:hAnsi="Times New Roman" w:cs="Times New Roman"/>
          <w:sz w:val="24"/>
          <w:szCs w:val="24"/>
          <w:lang w:val="de-DE"/>
        </w:rPr>
        <w:t xml:space="preserve">sowie </w:t>
      </w:r>
      <w:r>
        <w:rPr>
          <w:rFonts w:ascii="Times New Roman" w:eastAsia="Times New Roman" w:hAnsi="Times New Roman" w:cs="Times New Roman"/>
          <w:sz w:val="24"/>
          <w:szCs w:val="24"/>
          <w:lang w:val="de-DE" w:eastAsia="de-DE"/>
        </w:rPr>
        <w:t>d</w:t>
      </w:r>
      <w:commentRangeStart w:id="22"/>
      <w:r>
        <w:rPr>
          <w:rFonts w:ascii="Times New Roman" w:eastAsia="Times New Roman" w:hAnsi="Times New Roman" w:cs="Times New Roman"/>
          <w:sz w:val="24"/>
          <w:szCs w:val="24"/>
          <w:lang w:val="de-DE" w:eastAsia="de-DE"/>
        </w:rPr>
        <w:t>er Deutschen Gesellschaft für Krankenhaushygiene</w:t>
      </w:r>
      <w:r>
        <w:rPr>
          <w:lang w:val="de-DE"/>
        </w:rPr>
        <w:t xml:space="preserve"> </w:t>
      </w:r>
      <w:r>
        <w:rPr>
          <w:rFonts w:ascii="Times New Roman" w:eastAsia="Times New Roman" w:hAnsi="Times New Roman" w:cs="Times New Roman"/>
          <w:sz w:val="24"/>
          <w:szCs w:val="24"/>
          <w:lang w:val="de-DE" w:eastAsia="de-DE"/>
        </w:rPr>
        <w:t>(DGKH) und der Gesellschaft für Hygiene, Umweltmedizin und Präventivmedizin (GHUP) zur Verpflichtung zum Tragen von FFP2-Masken im öffentlichen Personennahverkehr und im Einzelhandel.</w:t>
      </w:r>
      <w:commentRangeEnd w:id="22"/>
      <w:r>
        <w:rPr>
          <w:rStyle w:val="Kommentarzeichen"/>
        </w:rPr>
        <w:commentReference w:id="22"/>
      </w:r>
    </w:p>
    <w:p>
      <w:pPr>
        <w:spacing w:before="100" w:beforeAutospacing="1" w:after="100" w:afterAutospacing="1" w:line="240" w:lineRule="auto"/>
        <w:rPr>
          <w:rFonts w:ascii="Times New Roman" w:eastAsia="Times New Roman" w:hAnsi="Times New Roman" w:cs="Times New Roman"/>
          <w:sz w:val="24"/>
          <w:szCs w:val="24"/>
          <w:lang w:val="de-DE" w:eastAsia="de-DE"/>
        </w:rPr>
      </w:pPr>
      <w:r>
        <w:rPr>
          <w:rFonts w:ascii="Times New Roman" w:eastAsia="Times New Roman" w:hAnsi="Times New Roman" w:cs="Times New Roman"/>
          <w:sz w:val="24"/>
          <w:szCs w:val="24"/>
          <w:lang w:val="de-DE" w:eastAsia="de-DE"/>
        </w:rPr>
        <w:t>Stand: 22.01.2021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unke, Melanie" w:date="2021-01-22T06:50:00Z" w:initials="BM">
    <w:p>
      <w:pPr>
        <w:pStyle w:val="Kommentartext"/>
        <w:rPr>
          <w:lang w:val="de-DE"/>
        </w:rPr>
      </w:pPr>
      <w:r>
        <w:rPr>
          <w:rStyle w:val="Kommentarzeichen"/>
        </w:rPr>
        <w:annotationRef/>
      </w:r>
      <w:r>
        <w:rPr>
          <w:lang w:val="de-DE"/>
        </w:rPr>
        <w:t>Offline, Stand 22.01.2021:</w:t>
      </w:r>
    </w:p>
  </w:comment>
  <w:comment w:id="8" w:author="Arvand, Mardjan" w:date="2021-01-21T14:37:00Z" w:initials="AM">
    <w:p>
      <w:pPr>
        <w:pStyle w:val="Kommentartext"/>
        <w:rPr>
          <w:lang w:val="de-DE"/>
        </w:rPr>
      </w:pPr>
      <w:r>
        <w:rPr>
          <w:rStyle w:val="Kommentarzeichen"/>
        </w:rPr>
        <w:annotationRef/>
      </w:r>
      <w:r>
        <w:rPr>
          <w:lang w:val="de-DE"/>
        </w:rPr>
        <w:t>Würde ich hier weglassen. Es wurde oben genügend betont, außerdem ist es für die Allgemeinbevölkerung nicht leistbar und m.E. auch nicht sinnvoll.</w:t>
      </w:r>
    </w:p>
  </w:comment>
  <w:comment w:id="2" w:author="Brunke, Melanie" w:date="2021-01-21T13:34:00Z" w:initials="BM">
    <w:p>
      <w:pPr>
        <w:pStyle w:val="Kommentartext"/>
        <w:rPr>
          <w:lang w:val="de-DE"/>
        </w:rPr>
      </w:pPr>
      <w:r>
        <w:rPr>
          <w:rStyle w:val="Kommentarzeichen"/>
        </w:rPr>
        <w:annotationRef/>
      </w:r>
      <w:r>
        <w:rPr>
          <w:lang w:val="de-DE"/>
        </w:rPr>
        <w:t>zur Diskussion in KS</w:t>
      </w:r>
    </w:p>
  </w:comment>
  <w:comment w:id="10" w:author="Brunke, Melanie" w:date="2021-01-21T13:36:00Z" w:initials="BM">
    <w:p>
      <w:pPr>
        <w:pStyle w:val="Kommentartext"/>
        <w:rPr>
          <w:lang w:val="de-DE"/>
        </w:rPr>
      </w:pPr>
      <w:r>
        <w:rPr>
          <w:rStyle w:val="Kommentarzeichen"/>
        </w:rPr>
        <w:annotationRef/>
      </w:r>
      <w:r>
        <w:rPr>
          <w:lang w:val="de-DE"/>
        </w:rPr>
        <w:t>bitte verlinken</w:t>
      </w:r>
    </w:p>
  </w:comment>
  <w:comment w:id="14" w:author="Brunke, Melanie" w:date="2021-01-22T06:49:00Z" w:initials="BM">
    <w:p>
      <w:pPr>
        <w:pStyle w:val="Kommentartext"/>
        <w:rPr>
          <w:lang w:val="de-DE"/>
        </w:rPr>
      </w:pPr>
      <w:r>
        <w:rPr>
          <w:rStyle w:val="Kommentarzeichen"/>
        </w:rPr>
        <w:annotationRef/>
      </w:r>
      <w:r>
        <w:rPr>
          <w:lang w:val="de-DE"/>
        </w:rPr>
        <w:t>https://www.bfarm.de/SharedDocs/Risikoinformationen/Medizinprodukte/DE/schutzmasken.html;jsessionid=BC5534C859D3BA722B993F498882D6BD.1_cid506</w:t>
      </w:r>
    </w:p>
  </w:comment>
  <w:comment w:id="21" w:author="Brunke, Melanie" w:date="2021-01-21T13:51:00Z" w:initials="BM">
    <w:p>
      <w:pPr>
        <w:pStyle w:val="Kommentartext"/>
        <w:rPr>
          <w:lang w:val="de-DE"/>
        </w:rPr>
      </w:pPr>
      <w:r>
        <w:rPr>
          <w:rStyle w:val="Kommentarzeichen"/>
        </w:rPr>
        <w:annotationRef/>
      </w:r>
      <w:r>
        <w:rPr>
          <w:lang w:val="de-DE"/>
        </w:rPr>
        <w:t>https://www.dghm.org/4319-2/</w:t>
      </w:r>
    </w:p>
  </w:comment>
  <w:comment w:id="22" w:author="Brunke, Melanie" w:date="2021-01-18T12:01:00Z" w:initials="BM">
    <w:p>
      <w:pPr>
        <w:pStyle w:val="Kommentartext"/>
        <w:rPr>
          <w:lang w:val="de-DE"/>
        </w:rPr>
      </w:pPr>
      <w:r>
        <w:rPr>
          <w:rStyle w:val="Kommentarzeichen"/>
        </w:rPr>
        <w:annotationRef/>
      </w:r>
      <w:r>
        <w:rPr>
          <w:lang w:val="de-DE"/>
        </w:rPr>
        <w:t>https://www.krankenhaushygiene.de/informationen/805</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ke, Melanie">
    <w15:presenceInfo w15:providerId="None" w15:userId="Brunke, Melanie"/>
  </w15:person>
  <w15:person w15:author="Arvand, Mardjan">
    <w15:presenceInfo w15:providerId="None" w15:userId="Arvand, Mard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13418-3286-4707-B777-7150E552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594">
      <w:bodyDiv w:val="1"/>
      <w:marLeft w:val="0"/>
      <w:marRight w:val="0"/>
      <w:marTop w:val="0"/>
      <w:marBottom w:val="0"/>
      <w:divBdr>
        <w:top w:val="none" w:sz="0" w:space="0" w:color="auto"/>
        <w:left w:val="none" w:sz="0" w:space="0" w:color="auto"/>
        <w:bottom w:val="none" w:sz="0" w:space="0" w:color="auto"/>
        <w:right w:val="none" w:sz="0" w:space="0" w:color="auto"/>
      </w:divBdr>
      <w:divsChild>
        <w:div w:id="2015263169">
          <w:marLeft w:val="0"/>
          <w:marRight w:val="0"/>
          <w:marTop w:val="0"/>
          <w:marBottom w:val="0"/>
          <w:divBdr>
            <w:top w:val="none" w:sz="0" w:space="0" w:color="auto"/>
            <w:left w:val="none" w:sz="0" w:space="0" w:color="auto"/>
            <w:bottom w:val="none" w:sz="0" w:space="0" w:color="auto"/>
            <w:right w:val="none" w:sz="0" w:space="0" w:color="auto"/>
          </w:divBdr>
        </w:div>
      </w:divsChild>
    </w:div>
    <w:div w:id="592015358">
      <w:bodyDiv w:val="1"/>
      <w:marLeft w:val="0"/>
      <w:marRight w:val="0"/>
      <w:marTop w:val="0"/>
      <w:marBottom w:val="0"/>
      <w:divBdr>
        <w:top w:val="none" w:sz="0" w:space="0" w:color="auto"/>
        <w:left w:val="none" w:sz="0" w:space="0" w:color="auto"/>
        <w:bottom w:val="none" w:sz="0" w:space="0" w:color="auto"/>
        <w:right w:val="none" w:sz="0" w:space="0" w:color="auto"/>
      </w:divBdr>
    </w:div>
    <w:div w:id="763721252">
      <w:bodyDiv w:val="1"/>
      <w:marLeft w:val="0"/>
      <w:marRight w:val="0"/>
      <w:marTop w:val="0"/>
      <w:marBottom w:val="0"/>
      <w:divBdr>
        <w:top w:val="none" w:sz="0" w:space="0" w:color="auto"/>
        <w:left w:val="none" w:sz="0" w:space="0" w:color="auto"/>
        <w:bottom w:val="none" w:sz="0" w:space="0" w:color="auto"/>
        <w:right w:val="none" w:sz="0" w:space="0" w:color="auto"/>
      </w:divBdr>
    </w:div>
    <w:div w:id="1735541127">
      <w:bodyDiv w:val="1"/>
      <w:marLeft w:val="0"/>
      <w:marRight w:val="0"/>
      <w:marTop w:val="0"/>
      <w:marBottom w:val="0"/>
      <w:divBdr>
        <w:top w:val="none" w:sz="0" w:space="0" w:color="auto"/>
        <w:left w:val="none" w:sz="0" w:space="0" w:color="auto"/>
        <w:bottom w:val="none" w:sz="0" w:space="0" w:color="auto"/>
        <w:right w:val="none" w:sz="0" w:space="0" w:color="auto"/>
      </w:divBdr>
    </w:div>
    <w:div w:id="20426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Brunke, Melanie</cp:lastModifiedBy>
  <cp:revision>4</cp:revision>
  <cp:lastPrinted>2021-01-18T09:55:00Z</cp:lastPrinted>
  <dcterms:created xsi:type="dcterms:W3CDTF">2021-01-22T08:02:00Z</dcterms:created>
  <dcterms:modified xsi:type="dcterms:W3CDTF">2021-01-22T09:38:00Z</dcterms:modified>
</cp:coreProperties>
</file>