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12.02.2021: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Vorschlag Berücksichtigung Impfprävention</w:t>
            </w:r>
          </w:p>
        </w:tc>
        <w:tc>
          <w:tcPr>
            <w:tcW w:w="1809" w:type="dxa"/>
          </w:tcPr>
          <w:p/>
          <w:p>
            <w:r>
              <w:t>FG 33, 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Verschärfung der Maßnahmen angesichts der VOC-Verbreitung (s. E-Mail)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VOC – Bericht Dänemark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EU: Umgang mit COVID-19 Genesenen hinsichtlich Testung bei Einreise (bis 90 Tage ggf. positives Erg.)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7"/>
              </w:numPr>
              <w:ind w:left="766" w:hanging="426"/>
              <w:rPr>
                <w:b/>
              </w:rPr>
            </w:pPr>
            <w:r>
              <w:t>MPK Beschluss 10.02.2021 – Konsequenzen für RKI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  <w:p>
            <w:pPr>
              <w:ind w:right="-266"/>
            </w:pPr>
            <w:r>
              <w:t>FG38 (</w:t>
            </w:r>
            <w:r>
              <w:rPr>
                <w:lang w:eastAsia="de-DE"/>
              </w:rPr>
              <w:t>Rexroth)</w:t>
            </w:r>
            <w:r>
              <w:t>, Abt1 (Mielke)</w:t>
            </w:r>
          </w:p>
          <w:p>
            <w:pPr>
              <w:ind w:right="-266"/>
            </w:pPr>
            <w:r>
              <w:t>FG36/ Buda</w:t>
            </w:r>
          </w:p>
          <w:p>
            <w:pPr>
              <w:ind w:right="-266"/>
            </w:pPr>
            <w:r>
              <w:t>FG38 (</w:t>
            </w:r>
            <w:proofErr w:type="gramStart"/>
            <w:r>
              <w:t>an der Heiden</w:t>
            </w:r>
            <w:proofErr w:type="gramEnd"/>
            <w:r>
              <w:t>)</w:t>
            </w:r>
          </w:p>
          <w:p>
            <w:pPr>
              <w:ind w:right="-266"/>
            </w:pPr>
          </w:p>
          <w:p>
            <w:pPr>
              <w:ind w:right="-266"/>
            </w:pPr>
            <w:r>
              <w:t>FG38, alle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Erinnerung an Aktualisierung der Dokumente vor dem Hintergrund der angepassten Teststrategie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Vorschlag zur Integration des Impfens</w:t>
            </w:r>
          </w:p>
        </w:tc>
        <w:tc>
          <w:tcPr>
            <w:tcW w:w="1809" w:type="dxa"/>
          </w:tcPr>
          <w:p>
            <w:r>
              <w:t>FG33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Ergebnisse der Befragung zum RKI-internen Lagemanagement während der COVID-19 Pandemie, Oktober 2020</w:t>
            </w:r>
          </w:p>
        </w:tc>
        <w:tc>
          <w:tcPr>
            <w:tcW w:w="1809" w:type="dxa"/>
          </w:tcPr>
          <w:p>
            <w:r>
              <w:t>FG38/ Meike Schöll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15.02.2021,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195E"/>
    <w:multiLevelType w:val="hybridMultilevel"/>
    <w:tmpl w:val="9E42D3C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14</cp:revision>
  <cp:lastPrinted>2020-03-13T12:00:00Z</cp:lastPrinted>
  <dcterms:created xsi:type="dcterms:W3CDTF">2021-02-08T09:36:00Z</dcterms:created>
  <dcterms:modified xsi:type="dcterms:W3CDTF">2022-12-22T13:06:00Z</dcterms:modified>
</cp:coreProperties>
</file>