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ind w:left="0"/>
        <w:rPr>
          <w:rFonts w:ascii="Scala OT" w:hAnsi="Scala OT"/>
          <w:lang w:val="en-US"/>
        </w:rPr>
      </w:pPr>
      <w:r>
        <w:rPr>
          <w:rFonts w:ascii="Scala OT" w:hAnsi="Scala OT"/>
          <w:noProof/>
          <w:lang w:val="en-US"/>
        </w:rPr>
        <w:drawing>
          <wp:anchor distT="0" distB="0" distL="114300" distR="114300" simplePos="0" relativeHeight="251658239" behindDoc="0" locked="1" layoutInCell="1" allowOverlap="1">
            <wp:simplePos x="0" y="0"/>
            <wp:positionH relativeFrom="column">
              <wp:posOffset>3052445</wp:posOffset>
            </wp:positionH>
            <wp:positionV relativeFrom="page">
              <wp:posOffset>900430</wp:posOffset>
            </wp:positionV>
            <wp:extent cx="2709545" cy="785495"/>
            <wp:effectExtent l="0" t="0" r="8255" b="190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KI-Logo_RGB_P300C.tif"/>
                    <pic:cNvPicPr/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785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0"/>
        <w:rPr>
          <w:rFonts w:ascii="Scala OT" w:hAnsi="Scala OT"/>
          <w:lang w:val="en-US"/>
        </w:rPr>
      </w:pPr>
    </w:p>
    <w:p>
      <w:pPr>
        <w:ind w:left="0"/>
        <w:rPr>
          <w:rFonts w:ascii="Scala OT" w:hAnsi="Scala OT"/>
          <w:lang w:val="en-US"/>
        </w:rPr>
      </w:pPr>
    </w:p>
    <w:p>
      <w:pPr>
        <w:rPr>
          <w:rFonts w:ascii="Scala OT" w:hAnsi="Scala OT"/>
          <w:color w:val="365F91" w:themeColor="accent1" w:themeShade="BF"/>
          <w:lang w:val="en-GB"/>
        </w:rPr>
      </w:pPr>
      <w:r>
        <w:rPr>
          <w:rFonts w:ascii="Scala OT" w:hAnsi="Scala OT"/>
          <w:color w:val="045AA6"/>
          <w:lang w:val="en-US"/>
        </w:rPr>
        <w:t xml:space="preserve">SARS-COV-2 re-infection risk in Austria, 2021 </w:t>
      </w:r>
    </w:p>
    <w:p>
      <w:pPr>
        <w:rPr>
          <w:rFonts w:ascii="Scala OT" w:hAnsi="Scala OT"/>
          <w:lang w:val="en-US"/>
        </w:rPr>
      </w:pPr>
    </w:p>
    <w:p>
      <w:pPr>
        <w:spacing w:line="240" w:lineRule="auto"/>
        <w:rPr>
          <w:rFonts w:ascii="Scala OT" w:hAnsi="Scala OT"/>
          <w:color w:val="045AA6"/>
          <w:lang w:val="en-US"/>
        </w:rPr>
      </w:pPr>
      <w:r>
        <w:rPr>
          <w:rFonts w:ascii="Scala OT" w:hAnsi="Scala OT"/>
          <w:color w:val="045AA6"/>
          <w:lang w:val="en-US"/>
        </w:rPr>
        <w:t>Authors</w:t>
      </w:r>
    </w:p>
    <w:p>
      <w:pPr>
        <w:pStyle w:val="ListParagraph"/>
        <w:numPr>
          <w:ilvl w:val="0"/>
          <w:numId w:val="1"/>
        </w:numPr>
        <w:spacing w:line="240" w:lineRule="auto"/>
        <w:ind w:left="187" w:hanging="357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 xml:space="preserve">Sophie Alice Müller, Centre for International Health Protection, Robert Koch Institute </w:t>
      </w:r>
    </w:p>
    <w:p>
      <w:pPr>
        <w:pStyle w:val="ListParagraph"/>
        <w:numPr>
          <w:ilvl w:val="0"/>
          <w:numId w:val="1"/>
        </w:numPr>
        <w:spacing w:line="240" w:lineRule="auto"/>
        <w:ind w:left="187" w:hanging="357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Seth Kofi Abrokwa, Evidence-Based Public Health, Centre for International Health Protection, Robert Koch Institute</w:t>
      </w:r>
    </w:p>
    <w:p>
      <w:pPr>
        <w:pStyle w:val="ListParagraph"/>
        <w:numPr>
          <w:ilvl w:val="0"/>
          <w:numId w:val="1"/>
        </w:numPr>
        <w:spacing w:line="240" w:lineRule="auto"/>
        <w:ind w:left="187" w:hanging="357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Charbel El Bcheraoui, Evidence-Based Public Health, Centre for International Health Protection, Robert Koch Institute</w:t>
      </w:r>
    </w:p>
    <w:p>
      <w:pPr>
        <w:spacing w:line="240" w:lineRule="auto"/>
        <w:rPr>
          <w:rFonts w:ascii="Scala OT" w:hAnsi="Scala OT"/>
          <w:color w:val="045AA6"/>
          <w:lang w:val="en-US"/>
        </w:rPr>
      </w:pPr>
    </w:p>
    <w:p>
      <w:pPr>
        <w:spacing w:line="240" w:lineRule="auto"/>
        <w:rPr>
          <w:rFonts w:ascii="Scala OT" w:hAnsi="Scala OT"/>
          <w:lang w:val="en-US"/>
        </w:rPr>
      </w:pPr>
      <w:r>
        <w:rPr>
          <w:rFonts w:ascii="Scala OT" w:hAnsi="Scala OT"/>
          <w:color w:val="045AA6"/>
          <w:lang w:val="en-US"/>
        </w:rPr>
        <w:t xml:space="preserve">Public health question </w:t>
      </w:r>
    </w:p>
    <w:p>
      <w:pPr>
        <w:spacing w:line="240" w:lineRule="auto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How</w:t>
      </w:r>
      <w:r>
        <w:rPr>
          <w:rFonts w:ascii="Scala OT" w:hAnsi="Scala OT" w:hint="eastAsia"/>
          <w:lang w:val="en-US"/>
        </w:rPr>
        <w:t xml:space="preserve"> effective and long lasting</w:t>
      </w:r>
      <w:r>
        <w:rPr>
          <w:rFonts w:ascii="Scala OT" w:hAnsi="Scala OT"/>
          <w:lang w:val="en-US"/>
        </w:rPr>
        <w:t xml:space="preserve"> is</w:t>
      </w:r>
      <w:r>
        <w:rPr>
          <w:rFonts w:ascii="Scala OT" w:hAnsi="Scala OT" w:hint="eastAsia"/>
          <w:lang w:val="en-US"/>
        </w:rPr>
        <w:t xml:space="preserve"> immunity against </w:t>
      </w:r>
      <w:r>
        <w:rPr>
          <w:rFonts w:ascii="Scala OT" w:hAnsi="Scala OT"/>
          <w:lang w:val="en-US"/>
        </w:rPr>
        <w:t>COVID-19</w:t>
      </w:r>
      <w:r>
        <w:rPr>
          <w:rFonts w:ascii="Scala OT" w:hAnsi="Scala OT" w:hint="eastAsia"/>
          <w:lang w:val="en-US"/>
        </w:rPr>
        <w:t xml:space="preserve"> in individuals who were previously infected with </w:t>
      </w:r>
      <w:r>
        <w:rPr>
          <w:rFonts w:ascii="Scala OT" w:hAnsi="Scala OT"/>
          <w:lang w:val="en-US"/>
        </w:rPr>
        <w:t xml:space="preserve">SARS-CoV-2? </w:t>
      </w:r>
    </w:p>
    <w:p>
      <w:pPr>
        <w:spacing w:line="240" w:lineRule="auto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 xml:space="preserve">Evaluation of the risk of SARS-CoV-2 re-infections in the general population in Austria. </w:t>
      </w:r>
    </w:p>
    <w:p>
      <w:pPr>
        <w:spacing w:line="240" w:lineRule="auto"/>
        <w:rPr>
          <w:rFonts w:ascii="Scala OT" w:hAnsi="Scala OT"/>
          <w:color w:val="045AA6"/>
          <w:lang w:val="en-US"/>
        </w:rPr>
      </w:pPr>
    </w:p>
    <w:p>
      <w:pPr>
        <w:spacing w:line="240" w:lineRule="auto"/>
        <w:rPr>
          <w:rFonts w:ascii="Scala OT" w:hAnsi="Scala OT"/>
          <w:color w:val="045AA6"/>
          <w:lang w:val="en-US"/>
        </w:rPr>
      </w:pPr>
      <w:r>
        <w:rPr>
          <w:rFonts w:ascii="Scala OT" w:hAnsi="Scala OT"/>
          <w:color w:val="045AA6"/>
          <w:lang w:val="en-US"/>
        </w:rPr>
        <w:t>Interventions</w:t>
      </w:r>
    </w:p>
    <w:p>
      <w:pPr>
        <w:spacing w:line="240" w:lineRule="auto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Protection against SARS-COV-2 during the second COVID-19 wave due to history of infection during the first wave.</w:t>
      </w:r>
    </w:p>
    <w:p>
      <w:pPr>
        <w:spacing w:line="240" w:lineRule="auto"/>
        <w:rPr>
          <w:rFonts w:ascii="Scala OT" w:hAnsi="Scala OT"/>
          <w:color w:val="045AA6"/>
          <w:lang w:val="en-US"/>
        </w:rPr>
      </w:pPr>
    </w:p>
    <w:p>
      <w:pPr>
        <w:spacing w:line="240" w:lineRule="auto"/>
        <w:rPr>
          <w:rFonts w:ascii="Scala OT" w:hAnsi="Scala OT"/>
          <w:color w:val="045AA6"/>
          <w:lang w:val="en-US"/>
        </w:rPr>
      </w:pPr>
      <w:r>
        <w:rPr>
          <w:rFonts w:ascii="Scala OT" w:hAnsi="Scala OT"/>
          <w:color w:val="045AA6"/>
          <w:lang w:val="en-US"/>
        </w:rPr>
        <w:t>Publication status of included studies</w:t>
      </w:r>
    </w:p>
    <w:p>
      <w:p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US"/>
        </w:rPr>
        <w:t>Accepted manuscript in European Journal of Clinical Investigation (2017 IF of 3.1).</w:t>
      </w:r>
    </w:p>
    <w:p>
      <w:pPr>
        <w:spacing w:line="240" w:lineRule="auto"/>
        <w:rPr>
          <w:rFonts w:ascii="Scala OT" w:hAnsi="Scala OT"/>
          <w:color w:val="045AA6"/>
          <w:lang w:val="en-US"/>
        </w:rPr>
      </w:pPr>
    </w:p>
    <w:p>
      <w:pPr>
        <w:spacing w:line="240" w:lineRule="auto"/>
        <w:rPr>
          <w:rFonts w:ascii="Scala OT" w:hAnsi="Scala OT"/>
          <w:color w:val="045AA6"/>
          <w:lang w:val="en-US"/>
        </w:rPr>
      </w:pPr>
      <w:r>
        <w:rPr>
          <w:rFonts w:ascii="Scala OT" w:hAnsi="Scala OT"/>
          <w:color w:val="045AA6"/>
          <w:lang w:val="en-US"/>
        </w:rPr>
        <w:t>Data</w:t>
      </w:r>
    </w:p>
    <w:p>
      <w:pPr>
        <w:spacing w:line="240" w:lineRule="auto"/>
        <w:rPr>
          <w:rFonts w:ascii="Scala OT" w:hAnsi="Scala OT"/>
          <w:color w:val="045AA6"/>
          <w:lang w:val="en-US"/>
        </w:rPr>
      </w:pPr>
      <w:r>
        <w:rPr>
          <w:rFonts w:ascii="Scala OT" w:hAnsi="Scala OT"/>
          <w:lang w:val="en-US"/>
        </w:rPr>
        <w:t xml:space="preserve">Empirical research </w:t>
      </w:r>
    </w:p>
    <w:p>
      <w:pPr>
        <w:rPr>
          <w:rFonts w:ascii="Scala OT" w:hAnsi="Scala OT"/>
          <w:color w:val="045AA6"/>
          <w:lang w:val="en-US"/>
        </w:rPr>
      </w:pPr>
    </w:p>
    <w:p>
      <w:pPr>
        <w:spacing w:line="240" w:lineRule="auto"/>
        <w:rPr>
          <w:rFonts w:ascii="Scala OT" w:hAnsi="Scala OT"/>
          <w:color w:val="045AA6"/>
          <w:lang w:val="en-US"/>
        </w:rPr>
      </w:pPr>
      <w:r>
        <w:rPr>
          <w:rFonts w:ascii="Scala OT" w:hAnsi="Scala OT"/>
          <w:color w:val="045AA6"/>
          <w:lang w:val="en-US"/>
        </w:rPr>
        <w:t>Quality assessment process</w:t>
      </w:r>
    </w:p>
    <w:p>
      <w:pPr>
        <w:spacing w:line="240" w:lineRule="auto"/>
        <w:rPr>
          <w:rFonts w:ascii="Scala OT" w:hAnsi="Scala OT"/>
          <w:i/>
          <w:lang w:val="en-US"/>
        </w:rPr>
      </w:pPr>
      <w:hyperlink r:id="rId9" w:history="1">
        <w:r>
          <w:rPr>
            <w:rStyle w:val="Hyperlink"/>
            <w:rFonts w:ascii="Scala OT" w:hAnsi="Scala OT"/>
            <w:i/>
            <w:lang w:val="en-US"/>
          </w:rPr>
          <w:t>Checklist for Cohort Studies</w:t>
        </w:r>
      </w:hyperlink>
      <w:r>
        <w:rPr>
          <w:rFonts w:ascii="Scala OT" w:hAnsi="Scala OT"/>
          <w:i/>
          <w:lang w:val="en-US"/>
        </w:rPr>
        <w:t xml:space="preserve"> </w:t>
      </w:r>
      <w:r>
        <w:rPr>
          <w:rFonts w:ascii="Scala OT" w:hAnsi="Scala OT"/>
          <w:i/>
          <w:lang w:val="en-US"/>
        </w:rPr>
        <w:t xml:space="preserve">Critical Appraisal tools for use in JBI Systematic Reviews </w:t>
      </w:r>
    </w:p>
    <w:p>
      <w:pPr>
        <w:pStyle w:val="ListParagraph"/>
        <w:numPr>
          <w:ilvl w:val="0"/>
          <w:numId w:val="5"/>
        </w:num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Were the two groups similar and recruited from the same population?</w:t>
      </w:r>
    </w:p>
    <w:p>
      <w:pPr>
        <w:pStyle w:val="ListParagraph"/>
        <w:spacing w:line="240" w:lineRule="auto"/>
        <w:ind w:left="708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 xml:space="preserve">Both are from the general Austrian population </w:t>
      </w:r>
    </w:p>
    <w:p>
      <w:pPr>
        <w:spacing w:line="240" w:lineRule="auto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ab/>
      </w:r>
      <w:r>
        <w:rPr>
          <w:rFonts w:ascii="Scala OT" w:hAnsi="Scala OT"/>
          <w:lang w:val="en-US"/>
        </w:rPr>
        <w:tab/>
      </w:r>
      <w:r>
        <w:rPr>
          <w:lang w:val="en-GB"/>
        </w:rPr>
        <w:sym w:font="Wingdings" w:char="F0E0"/>
      </w:r>
      <w:r>
        <w:rPr>
          <w:lang w:val="en-GB"/>
        </w:rPr>
        <w:t xml:space="preserve"> </w:t>
      </w:r>
      <w:r>
        <w:rPr>
          <w:rFonts w:ascii="Scala OT" w:hAnsi="Scala OT"/>
          <w:lang w:val="en-US"/>
        </w:rPr>
        <w:t>yes</w:t>
      </w:r>
    </w:p>
    <w:p>
      <w:pPr>
        <w:spacing w:line="240" w:lineRule="auto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2. Were the exposures measured similarly to assign people to both exposed and unexposed groups?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 xml:space="preserve">In this case, exposure equals first infection. Infection was assessed by PCR. 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 xml:space="preserve">Group 1 (COVID-19 survivors) only includes positive tested, Group 2 (general population) includes non-tested and negative tested Austrians. 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Non-tested potential asymptomatic cases are included in Group 2</w:t>
      </w:r>
    </w:p>
    <w:p>
      <w:p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ab/>
      </w:r>
      <w:r>
        <w:rPr>
          <w:rFonts w:ascii="Scala OT" w:hAnsi="Scala OT"/>
          <w:lang w:val="en-GB"/>
        </w:rPr>
        <w:tab/>
      </w:r>
      <w:r>
        <w:rPr>
          <w:rFonts w:ascii="Scala OT" w:hAnsi="Scala OT"/>
          <w:lang w:val="en-GB"/>
        </w:rPr>
        <w:sym w:font="Wingdings" w:char="F0E0"/>
      </w:r>
      <w:r>
        <w:rPr>
          <w:rFonts w:ascii="Scala OT" w:hAnsi="Scala OT"/>
          <w:lang w:val="en-GB"/>
        </w:rPr>
        <w:t xml:space="preserve"> yes</w:t>
      </w:r>
    </w:p>
    <w:p>
      <w:p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3. Was the exposure measured in a valid and reliable way?</w:t>
      </w:r>
    </w:p>
    <w:p>
      <w:p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ab/>
      </w:r>
      <w:r>
        <w:rPr>
          <w:rFonts w:ascii="Scala OT" w:hAnsi="Scala OT"/>
          <w:lang w:val="en-GB"/>
        </w:rPr>
        <w:tab/>
        <w:t xml:space="preserve">PCR test, no </w:t>
      </w:r>
      <w:r>
        <w:rPr>
          <w:rFonts w:ascii="Scala OT" w:hAnsi="Scala OT"/>
          <w:lang w:val="en-GB"/>
        </w:rPr>
        <w:t>further information</w:t>
      </w:r>
    </w:p>
    <w:p>
      <w:p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ab/>
      </w:r>
      <w:r>
        <w:rPr>
          <w:rFonts w:ascii="Scala OT" w:hAnsi="Scala OT"/>
          <w:lang w:val="en-GB"/>
        </w:rPr>
        <w:tab/>
      </w:r>
      <w:r>
        <w:rPr>
          <w:rFonts w:ascii="Scala OT" w:hAnsi="Scala OT"/>
          <w:lang w:val="en-GB"/>
        </w:rPr>
        <w:sym w:font="Wingdings" w:char="F0E0"/>
      </w:r>
      <w:r>
        <w:rPr>
          <w:rFonts w:ascii="Scala OT" w:hAnsi="Scala OT"/>
          <w:lang w:val="en-GB"/>
        </w:rPr>
        <w:t xml:space="preserve"> yes</w:t>
      </w:r>
    </w:p>
    <w:p>
      <w:p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 xml:space="preserve">4. </w:t>
      </w:r>
      <w:proofErr w:type="spellStart"/>
      <w:r>
        <w:rPr>
          <w:rFonts w:ascii="Scala OT" w:hAnsi="Scala OT"/>
          <w:lang w:val="en-GB"/>
        </w:rPr>
        <w:t>Were</w:t>
      </w:r>
      <w:proofErr w:type="spellEnd"/>
      <w:r>
        <w:rPr>
          <w:rFonts w:ascii="Scala OT" w:hAnsi="Scala OT"/>
          <w:lang w:val="en-GB"/>
        </w:rPr>
        <w:t xml:space="preserve"> confounding factors identified?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Epidemiological characteristics of re-infected are described in Table 1, no epidemiological characteristics are described for people with one infection only, no prognostic factors or concomitant exposures are given</w:t>
      </w:r>
    </w:p>
    <w:p>
      <w:pPr>
        <w:spacing w:line="240" w:lineRule="auto"/>
        <w:ind w:left="706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ab/>
      </w:r>
      <w:r>
        <w:rPr>
          <w:rFonts w:ascii="Scala OT" w:hAnsi="Scala OT"/>
          <w:lang w:val="en-GB"/>
        </w:rPr>
        <w:tab/>
        <w:t xml:space="preserve">No confounding factors identified </w:t>
      </w:r>
    </w:p>
    <w:p>
      <w:pPr>
        <w:spacing w:line="240" w:lineRule="auto"/>
        <w:ind w:left="706"/>
        <w:rPr>
          <w:rFonts w:ascii="Scala OT" w:hAnsi="Scala OT"/>
          <w:lang w:val="en-US"/>
        </w:rPr>
      </w:pPr>
      <w:r>
        <w:rPr>
          <w:rFonts w:ascii="Scala OT" w:hAnsi="Scala OT"/>
          <w:lang w:val="en-GB"/>
        </w:rPr>
        <w:tab/>
      </w:r>
      <w:r>
        <w:rPr>
          <w:lang w:val="en-GB"/>
        </w:rPr>
        <w:sym w:font="Wingdings" w:char="F0E0"/>
      </w:r>
      <w:r>
        <w:rPr>
          <w:lang w:val="en-GB"/>
        </w:rPr>
        <w:t xml:space="preserve"> </w:t>
      </w:r>
      <w:r>
        <w:rPr>
          <w:rFonts w:ascii="Scala OT" w:hAnsi="Scala OT"/>
          <w:lang w:val="en-US"/>
        </w:rPr>
        <w:t>unclear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 xml:space="preserve">5. Were strategies to deal with confounding factors </w:t>
      </w:r>
      <w:r>
        <w:rPr>
          <w:rFonts w:ascii="Scala OT" w:hAnsi="Scala OT"/>
          <w:lang w:val="en-GB"/>
        </w:rPr>
        <w:t>stated?</w:t>
      </w:r>
    </w:p>
    <w:p>
      <w:pPr>
        <w:spacing w:line="240" w:lineRule="auto"/>
        <w:ind w:left="708"/>
        <w:rPr>
          <w:rFonts w:ascii="Scala OT" w:hAnsi="Scala OT"/>
          <w:lang w:val="en-US"/>
        </w:rPr>
      </w:pPr>
      <w:r>
        <w:rPr>
          <w:lang w:val="en-GB"/>
        </w:rPr>
        <w:sym w:font="Wingdings" w:char="F0E0"/>
      </w:r>
      <w:r>
        <w:rPr>
          <w:lang w:val="en-GB"/>
        </w:rPr>
        <w:t xml:space="preserve"> </w:t>
      </w:r>
      <w:r>
        <w:rPr>
          <w:rFonts w:ascii="Scala OT" w:hAnsi="Scala OT"/>
          <w:lang w:val="en-US"/>
        </w:rPr>
        <w:t>NA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6. Were the groups/participants free of the outcome at the start of the study (or at the moment of exposure)?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Outcome of interest is tentative reinfection in second wave. Tentative reinfections before the second wave are not included, as the author state they are most likely prolong viral shedding.</w:t>
      </w:r>
    </w:p>
    <w:p>
      <w:pPr>
        <w:spacing w:line="240" w:lineRule="auto"/>
        <w:ind w:left="708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 xml:space="preserve"> </w:t>
      </w:r>
      <w:r>
        <w:rPr>
          <w:rFonts w:ascii="Scala OT" w:hAnsi="Scala OT"/>
          <w:lang w:val="en-GB"/>
        </w:rPr>
        <w:sym w:font="Wingdings" w:char="F0E0"/>
      </w:r>
      <w:r>
        <w:rPr>
          <w:rFonts w:ascii="Scala OT" w:hAnsi="Scala OT"/>
          <w:lang w:val="en-GB"/>
        </w:rPr>
        <w:t xml:space="preserve"> yes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7. Were the outcomes measured in a valid and reliable way?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 xml:space="preserve">PCR testing without genome sequencing, but epidemiological case definition with &gt;4 months between the two episodes. 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ab/>
      </w:r>
      <w:r>
        <w:rPr>
          <w:rFonts w:ascii="Scala OT" w:hAnsi="Scala OT"/>
          <w:lang w:val="en-GB"/>
        </w:rPr>
        <w:sym w:font="Wingdings" w:char="F0E0"/>
      </w:r>
      <w:r>
        <w:rPr>
          <w:rFonts w:ascii="Scala OT" w:hAnsi="Scala OT"/>
          <w:lang w:val="en-GB"/>
        </w:rPr>
        <w:t xml:space="preserve"> yes</w:t>
      </w:r>
    </w:p>
    <w:p>
      <w:pPr>
        <w:spacing w:line="240" w:lineRule="auto"/>
        <w:ind w:left="0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8. Was the follow up time reported and sufficient to be long enough for outcomes to occur?</w:t>
      </w:r>
    </w:p>
    <w:p>
      <w:pPr>
        <w:spacing w:line="240" w:lineRule="auto"/>
        <w:ind w:left="0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Time between first and second wave (&gt;4 months) was included</w:t>
      </w:r>
    </w:p>
    <w:p>
      <w:pPr>
        <w:spacing w:line="240" w:lineRule="auto"/>
        <w:ind w:left="0" w:firstLine="708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lastRenderedPageBreak/>
        <w:sym w:font="Wingdings" w:char="F0E0"/>
      </w:r>
      <w:r>
        <w:rPr>
          <w:rFonts w:ascii="Scala OT" w:hAnsi="Scala OT"/>
          <w:lang w:val="en-GB"/>
        </w:rPr>
        <w:t xml:space="preserve"> yes</w:t>
      </w:r>
    </w:p>
    <w:p>
      <w:pPr>
        <w:spacing w:line="240" w:lineRule="auto"/>
        <w:ind w:left="0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9. Was follow up complete, and if not, were the reasons to loss to follow up described  and explored?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 xml:space="preserve">Data from national surveillance system, follow-up is complete, deaths among first wave are considered. </w:t>
      </w:r>
    </w:p>
    <w:p>
      <w:pPr>
        <w:spacing w:line="240" w:lineRule="auto"/>
        <w:ind w:left="0" w:firstLine="708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sym w:font="Wingdings" w:char="F0E0"/>
      </w:r>
      <w:r>
        <w:rPr>
          <w:rFonts w:ascii="Scala OT" w:hAnsi="Scala OT"/>
          <w:lang w:val="en-GB"/>
        </w:rPr>
        <w:t xml:space="preserve"> yes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10. Were strategies to address incomplete follow up utilized?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T</w:t>
      </w:r>
      <w:r>
        <w:rPr>
          <w:rFonts w:ascii="Scala OT" w:hAnsi="Scala OT"/>
          <w:lang w:val="en-GB"/>
        </w:rPr>
        <w:t>here is no loss to follow-up since identifiers are given to every infected and these identifiers can be linked in different episodes</w:t>
      </w:r>
    </w:p>
    <w:p>
      <w:pPr>
        <w:spacing w:line="240" w:lineRule="auto"/>
        <w:ind w:left="708"/>
        <w:rPr>
          <w:rFonts w:ascii="Scala OT" w:hAnsi="Scala OT"/>
          <w:lang w:val="en-US"/>
        </w:rPr>
      </w:pPr>
      <w:r>
        <w:rPr>
          <w:lang w:val="en-GB"/>
        </w:rPr>
        <w:sym w:font="Wingdings" w:char="F0E0"/>
      </w:r>
      <w:r>
        <w:rPr>
          <w:lang w:val="en-GB"/>
        </w:rPr>
        <w:t xml:space="preserve"> </w:t>
      </w:r>
      <w:r>
        <w:rPr>
          <w:rFonts w:ascii="Scala OT" w:hAnsi="Scala OT"/>
          <w:lang w:val="en-US"/>
        </w:rPr>
        <w:t>yes</w:t>
      </w:r>
    </w:p>
    <w:p>
      <w:pPr>
        <w:spacing w:line="240" w:lineRule="auto"/>
        <w:ind w:left="0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11. Was appropriate statistical analysis used?</w:t>
      </w:r>
    </w:p>
    <w:p>
      <w:pPr>
        <w:spacing w:line="240" w:lineRule="auto"/>
        <w:ind w:left="0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Only univariate OR calculation, no assessment of confounders, no adjustment for untested asymptomatic cases</w:t>
      </w:r>
    </w:p>
    <w:p>
      <w:pPr>
        <w:spacing w:line="240" w:lineRule="auto"/>
        <w:ind w:left="0" w:firstLine="708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sym w:font="Wingdings" w:char="F0E0"/>
      </w:r>
      <w:r>
        <w:rPr>
          <w:rFonts w:ascii="Scala OT" w:hAnsi="Scala OT"/>
          <w:lang w:val="en-GB"/>
        </w:rPr>
        <w:t xml:space="preserve"> unclear</w:t>
      </w:r>
    </w:p>
    <w:p>
      <w:pPr>
        <w:spacing w:line="240" w:lineRule="auto"/>
        <w:ind w:left="0"/>
        <w:rPr>
          <w:rFonts w:ascii="Scala OT" w:hAnsi="Scala OT"/>
          <w:lang w:val="en-US"/>
        </w:rPr>
      </w:pPr>
    </w:p>
    <w:p>
      <w:p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Using this appraisal tool, 8 of the 11 criteria were met.</w:t>
      </w:r>
    </w:p>
    <w:p>
      <w:pPr>
        <w:rPr>
          <w:rFonts w:ascii="Scala OT" w:hAnsi="Scala OT"/>
          <w:lang w:val="en-GB"/>
        </w:rPr>
      </w:pPr>
    </w:p>
    <w:p>
      <w:pPr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 xml:space="preserve">Additional points from </w:t>
      </w:r>
      <w:hyperlink r:id="rId10" w:history="1">
        <w:r>
          <w:rPr>
            <w:rStyle w:val="Hyperlink"/>
            <w:rFonts w:ascii="Scala OT" w:hAnsi="Scala OT"/>
            <w:lang w:val="en-GB"/>
          </w:rPr>
          <w:t>https://www.nhlbi.nih.gov/health-topics/study-quality-assessment-tools</w:t>
        </w:r>
      </w:hyperlink>
    </w:p>
    <w:p>
      <w:pPr>
        <w:pStyle w:val="ListParagraph"/>
        <w:numPr>
          <w:ilvl w:val="0"/>
          <w:numId w:val="4"/>
        </w:num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Was the research question or objective in this paper clearly stated?</w:t>
      </w:r>
    </w:p>
    <w:p>
      <w:pPr>
        <w:pStyle w:val="ListParagraph"/>
        <w:spacing w:line="240" w:lineRule="auto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How</w:t>
      </w:r>
      <w:r>
        <w:rPr>
          <w:rFonts w:ascii="Scala OT" w:hAnsi="Scala OT" w:hint="eastAsia"/>
          <w:lang w:val="en-US"/>
        </w:rPr>
        <w:t xml:space="preserve"> effective and long lasting</w:t>
      </w:r>
      <w:r>
        <w:rPr>
          <w:rFonts w:ascii="Scala OT" w:hAnsi="Scala OT"/>
          <w:lang w:val="en-US"/>
        </w:rPr>
        <w:t xml:space="preserve"> is</w:t>
      </w:r>
      <w:r>
        <w:rPr>
          <w:rFonts w:ascii="Scala OT" w:hAnsi="Scala OT" w:hint="eastAsia"/>
          <w:lang w:val="en-US"/>
        </w:rPr>
        <w:t xml:space="preserve"> immunity against </w:t>
      </w:r>
      <w:r>
        <w:rPr>
          <w:rFonts w:ascii="Scala OT" w:hAnsi="Scala OT"/>
          <w:lang w:val="en-US"/>
        </w:rPr>
        <w:t>COVID-19</w:t>
      </w:r>
      <w:r>
        <w:rPr>
          <w:rFonts w:ascii="Scala OT" w:hAnsi="Scala OT" w:hint="eastAsia"/>
          <w:lang w:val="en-US"/>
        </w:rPr>
        <w:t xml:space="preserve"> in individuals who were previously infected with </w:t>
      </w:r>
      <w:r>
        <w:rPr>
          <w:rFonts w:ascii="Scala OT" w:hAnsi="Scala OT"/>
          <w:lang w:val="en-US"/>
        </w:rPr>
        <w:t xml:space="preserve">SARS-CoV-2? </w:t>
      </w:r>
    </w:p>
    <w:p>
      <w:pPr>
        <w:pStyle w:val="ListParagraph"/>
        <w:spacing w:line="240" w:lineRule="auto"/>
        <w:rPr>
          <w:rFonts w:ascii="Scala OT" w:hAnsi="Scala OT"/>
          <w:lang w:val="en-GB"/>
        </w:rPr>
      </w:pPr>
      <w:r>
        <w:rPr>
          <w:lang w:val="en-GB"/>
        </w:rPr>
        <w:sym w:font="Wingdings" w:char="F0E0"/>
      </w:r>
      <w:r>
        <w:rPr>
          <w:rFonts w:ascii="Scala OT" w:hAnsi="Scala OT"/>
          <w:lang w:val="en-GB"/>
        </w:rPr>
        <w:t xml:space="preserve"> yes</w:t>
      </w:r>
    </w:p>
    <w:p>
      <w:pPr>
        <w:pStyle w:val="ListParagraph"/>
        <w:numPr>
          <w:ilvl w:val="0"/>
          <w:numId w:val="4"/>
        </w:num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Was the participation rate of eligible persons at least 50%?</w:t>
      </w:r>
    </w:p>
    <w:p>
      <w:pPr>
        <w:pStyle w:val="ListParagraph"/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 xml:space="preserve">Number of </w:t>
      </w:r>
      <w:r>
        <w:rPr>
          <w:rFonts w:ascii="Scala OT" w:hAnsi="Scala OT"/>
          <w:lang w:val="en-GB"/>
        </w:rPr>
        <w:t>negative tested not specified</w:t>
      </w:r>
    </w:p>
    <w:p>
      <w:pPr>
        <w:pStyle w:val="ListParagraph"/>
        <w:spacing w:line="240" w:lineRule="auto"/>
        <w:rPr>
          <w:rFonts w:ascii="Scala OT" w:hAnsi="Scala OT"/>
          <w:lang w:val="en-US"/>
        </w:rPr>
      </w:pPr>
      <w:r>
        <w:rPr>
          <w:lang w:val="en-GB"/>
        </w:rPr>
        <w:sym w:font="Wingdings" w:char="F0E0"/>
      </w:r>
      <w:r>
        <w:rPr>
          <w:lang w:val="en-GB"/>
        </w:rPr>
        <w:t xml:space="preserve"> </w:t>
      </w:r>
      <w:r>
        <w:rPr>
          <w:rFonts w:ascii="Scala OT" w:hAnsi="Scala OT"/>
          <w:lang w:val="en-US"/>
        </w:rPr>
        <w:t>unclear</w:t>
      </w:r>
    </w:p>
    <w:p>
      <w:pPr>
        <w:pStyle w:val="ListParagraph"/>
        <w:numPr>
          <w:ilvl w:val="0"/>
          <w:numId w:val="4"/>
        </w:num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Was a sample size justification, power description, or variance and effect estimates provided?</w:t>
      </w:r>
    </w:p>
    <w:p>
      <w:pPr>
        <w:pStyle w:val="ListParagraph"/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No sample size calculation applied, as whole population was included</w:t>
      </w:r>
    </w:p>
    <w:p>
      <w:pPr>
        <w:pStyle w:val="ListParagraph"/>
        <w:spacing w:line="240" w:lineRule="auto"/>
        <w:rPr>
          <w:rFonts w:ascii="Scala OT" w:hAnsi="Scala OT"/>
          <w:lang w:val="en-US"/>
        </w:rPr>
      </w:pPr>
      <w:r>
        <w:rPr>
          <w:lang w:val="en-GB"/>
        </w:rPr>
        <w:sym w:font="Wingdings" w:char="F0E0"/>
      </w:r>
      <w:r>
        <w:rPr>
          <w:lang w:val="en-GB"/>
        </w:rPr>
        <w:t xml:space="preserve"> </w:t>
      </w:r>
      <w:r>
        <w:rPr>
          <w:rFonts w:ascii="Scala OT" w:hAnsi="Scala OT"/>
          <w:lang w:val="en-US"/>
        </w:rPr>
        <w:t>unclear</w:t>
      </w:r>
    </w:p>
    <w:p>
      <w:pPr>
        <w:pStyle w:val="ListParagraph"/>
        <w:numPr>
          <w:ilvl w:val="0"/>
          <w:numId w:val="4"/>
        </w:num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For the analyses in this paper, were the exposure(s) of interest measured prior to the outcome(s) being measured?</w:t>
      </w:r>
    </w:p>
    <w:p>
      <w:pPr>
        <w:pStyle w:val="ListParagraph"/>
        <w:spacing w:line="240" w:lineRule="auto"/>
        <w:rPr>
          <w:rFonts w:ascii="Scala OT" w:hAnsi="Scala OT"/>
          <w:lang w:val="en-GB"/>
        </w:rPr>
      </w:pPr>
      <w:r>
        <w:rPr>
          <w:lang w:val="en-GB"/>
        </w:rPr>
        <w:sym w:font="Wingdings" w:char="F0E0"/>
      </w:r>
      <w:r>
        <w:rPr>
          <w:rFonts w:ascii="Scala OT" w:hAnsi="Scala OT"/>
          <w:lang w:val="en-GB"/>
        </w:rPr>
        <w:t xml:space="preserve"> yes</w:t>
      </w:r>
    </w:p>
    <w:p>
      <w:pPr>
        <w:pStyle w:val="ListParagraph"/>
        <w:numPr>
          <w:ilvl w:val="0"/>
          <w:numId w:val="4"/>
        </w:numPr>
        <w:spacing w:line="240" w:lineRule="auto"/>
        <w:rPr>
          <w:rFonts w:ascii="Scala OT" w:hAnsi="Scala OT"/>
          <w:lang w:val="en-GB"/>
        </w:rPr>
      </w:pPr>
      <w:r>
        <w:rPr>
          <w:rFonts w:ascii="Scala OT" w:hAnsi="Scala OT"/>
          <w:lang w:val="en-GB"/>
        </w:rPr>
        <w:t>Were the outcome assessors blinded to the exposure status of participants?</w:t>
      </w:r>
    </w:p>
    <w:p>
      <w:pPr>
        <w:pStyle w:val="ListParagraph"/>
        <w:spacing w:line="240" w:lineRule="auto"/>
        <w:rPr>
          <w:rFonts w:ascii="Scala OT" w:hAnsi="Scala OT"/>
          <w:lang w:val="en-US"/>
        </w:rPr>
      </w:pPr>
      <w:r>
        <w:rPr>
          <w:lang w:val="en-GB"/>
        </w:rPr>
        <w:sym w:font="Wingdings" w:char="F0E0"/>
      </w:r>
      <w:r>
        <w:rPr>
          <w:lang w:val="en-GB"/>
        </w:rPr>
        <w:t xml:space="preserve"> </w:t>
      </w:r>
      <w:r>
        <w:rPr>
          <w:rFonts w:ascii="Scala OT" w:hAnsi="Scala OT"/>
          <w:lang w:val="en-US"/>
        </w:rPr>
        <w:t>No</w:t>
      </w:r>
    </w:p>
    <w:p>
      <w:pPr>
        <w:spacing w:line="240" w:lineRule="auto"/>
        <w:rPr>
          <w:rFonts w:ascii="Scala OT" w:hAnsi="Scala OT"/>
          <w:color w:val="045AA6"/>
          <w:lang w:val="en-US"/>
        </w:rPr>
      </w:pPr>
    </w:p>
    <w:p>
      <w:pPr>
        <w:spacing w:line="240" w:lineRule="auto"/>
        <w:rPr>
          <w:rFonts w:ascii="Scala OT" w:hAnsi="Scala OT"/>
          <w:color w:val="045AA6"/>
          <w:lang w:val="en-US"/>
        </w:rPr>
      </w:pPr>
      <w:r>
        <w:rPr>
          <w:rFonts w:ascii="Scala OT" w:hAnsi="Scala OT"/>
          <w:color w:val="045AA6"/>
          <w:lang w:val="en-US"/>
        </w:rPr>
        <w:t>Results</w:t>
      </w:r>
    </w:p>
    <w:p>
      <w:pPr>
        <w:spacing w:line="240" w:lineRule="auto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 xml:space="preserve">Strengths: </w:t>
      </w:r>
    </w:p>
    <w:p>
      <w:pPr>
        <w:pStyle w:val="ListParagraph"/>
        <w:numPr>
          <w:ilvl w:val="0"/>
          <w:numId w:val="2"/>
        </w:numPr>
        <w:spacing w:line="240" w:lineRule="auto"/>
        <w:ind w:left="641" w:hanging="357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 xml:space="preserve">comprehensive study including data on 14.840 infected in first wave and 253,581 in second wave. </w:t>
      </w:r>
    </w:p>
    <w:p>
      <w:pPr>
        <w:pStyle w:val="ListParagraph"/>
        <w:numPr>
          <w:ilvl w:val="0"/>
          <w:numId w:val="2"/>
        </w:numPr>
        <w:spacing w:line="240" w:lineRule="auto"/>
        <w:ind w:left="641" w:hanging="357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Re-infection defined as re-positive after 6 months, prolong viral shedding unlikely</w:t>
      </w:r>
    </w:p>
    <w:p>
      <w:pPr>
        <w:spacing w:line="240" w:lineRule="auto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 xml:space="preserve">Weaknesses: </w:t>
      </w:r>
    </w:p>
    <w:p>
      <w:pPr>
        <w:pStyle w:val="ListParagraph"/>
        <w:numPr>
          <w:ilvl w:val="0"/>
          <w:numId w:val="2"/>
        </w:numPr>
        <w:spacing w:line="240" w:lineRule="auto"/>
        <w:ind w:left="641" w:hanging="357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No data on genome sequencing</w:t>
      </w:r>
    </w:p>
    <w:p>
      <w:pPr>
        <w:pStyle w:val="ListParagraph"/>
        <w:numPr>
          <w:ilvl w:val="0"/>
          <w:numId w:val="2"/>
        </w:numPr>
        <w:spacing w:line="240" w:lineRule="auto"/>
        <w:ind w:left="641" w:hanging="357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 xml:space="preserve">No baseline characteristics of infected people from first wave, no assessment of change in behavior </w:t>
      </w:r>
    </w:p>
    <w:p>
      <w:pPr>
        <w:pStyle w:val="ListParagraph"/>
        <w:numPr>
          <w:ilvl w:val="0"/>
          <w:numId w:val="2"/>
        </w:numPr>
        <w:spacing w:line="240" w:lineRule="auto"/>
        <w:ind w:left="641" w:hanging="357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No routine testing, underestimation possible</w:t>
      </w:r>
    </w:p>
    <w:p>
      <w:pPr>
        <w:pStyle w:val="ListParagraph"/>
        <w:numPr>
          <w:ilvl w:val="0"/>
          <w:numId w:val="2"/>
        </w:numPr>
        <w:spacing w:line="240" w:lineRule="auto"/>
        <w:ind w:left="641" w:hanging="357"/>
        <w:rPr>
          <w:rFonts w:ascii="Scala OT" w:hAnsi="Scala OT"/>
          <w:lang w:val="en-US"/>
        </w:rPr>
      </w:pPr>
      <w:r>
        <w:rPr>
          <w:rFonts w:ascii="Scala OT" w:hAnsi="Scala OT"/>
          <w:lang w:val="en-US"/>
        </w:rPr>
        <w:t>No data on negative tests performed.</w:t>
      </w:r>
    </w:p>
    <w:p>
      <w:pPr>
        <w:rPr>
          <w:rFonts w:ascii="Scala OT" w:hAnsi="Scala OT"/>
          <w:color w:val="045AA6"/>
          <w:lang w:val="en-US"/>
        </w:rPr>
      </w:pPr>
    </w:p>
    <w:p>
      <w:pPr>
        <w:spacing w:line="240" w:lineRule="auto"/>
        <w:rPr>
          <w:rFonts w:ascii="Scala OT" w:hAnsi="Scala OT"/>
          <w:color w:val="045AA6"/>
          <w:lang w:val="en-US"/>
        </w:rPr>
      </w:pPr>
      <w:r>
        <w:rPr>
          <w:rFonts w:ascii="Scala OT" w:hAnsi="Scala OT"/>
          <w:color w:val="045AA6"/>
          <w:lang w:val="en-US"/>
        </w:rPr>
        <w:t>Conclusions</w:t>
      </w:r>
    </w:p>
    <w:p>
      <w:pPr>
        <w:spacing w:line="240" w:lineRule="auto"/>
        <w:rPr>
          <w:rFonts w:ascii="Scala OT" w:hAnsi="Scala OT"/>
          <w:b/>
          <w:i/>
          <w:lang w:val="en-US"/>
        </w:rPr>
      </w:pPr>
      <w:r>
        <w:rPr>
          <w:rFonts w:ascii="Scala OT" w:hAnsi="Scala OT"/>
          <w:lang w:val="en-US"/>
        </w:rPr>
        <w:t xml:space="preserve">This study reports protection against SARS-CoV-2 after natural infection comparable to protection after vaccination. This evidence does not take into account the potential underestimation without routine testing or behavioral change after first infection. It can therefore </w:t>
      </w:r>
      <w:r>
        <w:rPr>
          <w:rFonts w:ascii="Scala OT" w:hAnsi="Scala OT"/>
          <w:lang w:val="en-US"/>
        </w:rPr>
        <w:t>only be used as addtional evidence to decide on public health measures and vaccination strategies.</w:t>
      </w:r>
    </w:p>
    <w:p>
      <w:pPr>
        <w:ind w:left="0"/>
        <w:rPr>
          <w:rFonts w:ascii="Scala OT" w:hAnsi="Scala OT"/>
          <w:color w:val="045AA6"/>
          <w:lang w:val="en-US"/>
        </w:rPr>
      </w:pPr>
    </w:p>
    <w:p>
      <w:pPr>
        <w:spacing w:line="240" w:lineRule="auto"/>
        <w:rPr>
          <w:rFonts w:ascii="Scala OT" w:hAnsi="Scala OT"/>
          <w:color w:val="045AA6"/>
          <w:lang w:val="en-US"/>
        </w:rPr>
      </w:pPr>
      <w:r>
        <w:rPr>
          <w:rFonts w:ascii="Scala OT" w:hAnsi="Scala OT"/>
          <w:color w:val="045AA6"/>
          <w:lang w:val="en-US"/>
        </w:rPr>
        <w:t>Suggested citation</w:t>
      </w:r>
    </w:p>
    <w:p>
      <w:pPr>
        <w:spacing w:line="240" w:lineRule="auto"/>
        <w:rPr>
          <w:rFonts w:ascii="Scala OT" w:hAnsi="Scala OT"/>
          <w:lang w:val="en-US"/>
        </w:rPr>
      </w:pPr>
      <w:r>
        <w:rPr>
          <w:rFonts w:ascii="Scala OT" w:hAnsi="Scala OT"/>
          <w:lang w:val="en-GB"/>
        </w:rPr>
        <w:t xml:space="preserve">Müller SA, Abrokwa SK, El Bcheraoui C. Robert Koch Institute. </w:t>
      </w:r>
      <w:r>
        <w:rPr>
          <w:rFonts w:ascii="Scala OT" w:hAnsi="Scala OT"/>
          <w:lang w:val="en-US"/>
        </w:rPr>
        <w:t xml:space="preserve">Report: Assessment of a peer-reviewed epidemiological study: </w:t>
      </w:r>
      <w:r>
        <w:rPr>
          <w:rFonts w:ascii="Scala OT" w:hAnsi="Scala OT"/>
          <w:lang w:val="en-GB"/>
        </w:rPr>
        <w:t>SARS-CoV-2 re-infection risk in Austria, 2021</w:t>
      </w:r>
      <w:r>
        <w:rPr>
          <w:rFonts w:ascii="Scala OT" w:hAnsi="Scala OT"/>
          <w:lang w:val="en-US"/>
        </w:rPr>
        <w:t>, Berlin 2021</w:t>
      </w:r>
    </w:p>
    <w:p>
      <w:pPr>
        <w:spacing w:line="240" w:lineRule="auto"/>
        <w:rPr>
          <w:rFonts w:ascii="Scala OT" w:hAnsi="Scala OT"/>
          <w:lang w:val="en-US"/>
        </w:rPr>
      </w:pPr>
    </w:p>
    <w:p>
      <w:pPr>
        <w:spacing w:line="240" w:lineRule="auto"/>
        <w:rPr>
          <w:rFonts w:ascii="Scala OT" w:hAnsi="Scala OT"/>
          <w:lang w:val="en-US"/>
        </w:rPr>
      </w:pPr>
    </w:p>
    <w:p>
      <w:pPr>
        <w:spacing w:line="240" w:lineRule="auto"/>
        <w:rPr>
          <w:rFonts w:ascii="Scala OT" w:hAnsi="Scala OT"/>
          <w:lang w:val="en-US"/>
        </w:rPr>
      </w:pPr>
    </w:p>
    <w:p>
      <w:pPr>
        <w:spacing w:line="240" w:lineRule="auto"/>
        <w:rPr>
          <w:rFonts w:ascii="Scala OT" w:hAnsi="Scala OT"/>
          <w:lang w:val="en-US"/>
        </w:rPr>
      </w:pPr>
    </w:p>
    <w:p>
      <w:pPr>
        <w:rPr>
          <w:rFonts w:ascii="Scala OT" w:hAnsi="Scala OT"/>
          <w:lang w:val="en-US"/>
        </w:rPr>
      </w:pPr>
      <w:r>
        <w:rPr>
          <w:rFonts w:ascii="Scala OT" w:hAnsi="Scala OT"/>
          <w:noProof/>
          <w:lang w:val="en-US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-573742</wp:posOffset>
            </wp:positionH>
            <wp:positionV relativeFrom="paragraph">
              <wp:posOffset>13111</wp:posOffset>
            </wp:positionV>
            <wp:extent cx="385445" cy="356235"/>
            <wp:effectExtent l="0" t="0" r="0" b="0"/>
            <wp:wrapSquare wrapText="bothSides"/>
            <wp:docPr id="2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ler_Geschäftsbriefkopf_P300_cmy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" t="974" r="1278" b="974"/>
                    <a:stretch/>
                  </pic:blipFill>
                  <pic:spPr bwMode="auto">
                    <a:xfrm>
                      <a:off x="0" y="0"/>
                      <a:ext cx="385445" cy="35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ala OT" w:hAnsi="Scala OT"/>
          <w:lang w:val="en-US"/>
        </w:rPr>
        <w:t xml:space="preserve">The Robert Koch Institute is a Federal Institute  </w:t>
      </w:r>
      <w:r>
        <w:rPr>
          <w:rFonts w:ascii="Scala OT" w:hAnsi="Scala OT"/>
          <w:lang w:val="en-US"/>
        </w:rPr>
        <w:br/>
      </w:r>
      <w:r>
        <w:rPr>
          <w:rFonts w:ascii="Scala OT" w:hAnsi="Scala O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1" behindDoc="0" locked="1" layoutInCell="1" allowOverlap="1">
                <wp:simplePos x="0" y="0"/>
                <wp:positionH relativeFrom="column">
                  <wp:posOffset>-914400</wp:posOffset>
                </wp:positionH>
                <wp:positionV relativeFrom="page">
                  <wp:posOffset>212725</wp:posOffset>
                </wp:positionV>
                <wp:extent cx="7673340" cy="457200"/>
                <wp:effectExtent l="0" t="0" r="0" b="0"/>
                <wp:wrapNone/>
                <wp:docPr id="3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34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9" o:spid="_x0000_s1026" style="position:absolute;margin-left:-1in;margin-top:16.75pt;width:604.2pt;height:36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" fillcolor="white [3212]" stroked="f">
                <w10:wrap anchory="page"/>
                <w10:anchorlock/>
              </v:rect>
            </w:pict>
          </mc:Fallback>
        </mc:AlternateContent>
      </w:r>
      <w:r>
        <w:rPr>
          <w:rFonts w:ascii="Scala OT" w:hAnsi="Scala OT"/>
          <w:lang w:val="en-US"/>
        </w:rPr>
        <w:t>within the Portfolio of the Federal Ministry of Health</w:t>
      </w:r>
      <w:bookmarkStart w:id="0" w:name="_GoBack"/>
      <w:bookmarkEnd w:id="0"/>
    </w:p>
    <w:p>
      <w:pPr>
        <w:rPr>
          <w:rFonts w:ascii="Scala OT" w:hAnsi="Scala OT"/>
          <w:lang w:val="en-US"/>
        </w:rPr>
      </w:pPr>
    </w:p>
    <w:sectPr>
      <w:headerReference w:type="even" r:id="rId12"/>
      <w:headerReference w:type="default" r:id="rId13"/>
      <w:pgSz w:w="11900" w:h="16840"/>
      <w:pgMar w:top="1418" w:right="1268" w:bottom="1134" w:left="1418" w:header="43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  <w:p/>
    <w:p/>
    <w:p/>
  </w:endnote>
  <w:endnote w:type="continuationSeparator" w:id="0">
    <w:p>
      <w:r>
        <w:continuationSeparator/>
      </w:r>
    </w:p>
    <w:p/>
    <w:p/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 OT">
    <w:panose1 w:val="02010504040101020104"/>
    <w:charset w:val="00"/>
    <w:family w:val="auto"/>
    <w:pitch w:val="variable"/>
    <w:sig w:usb0="A00000EF" w:usb1="5000E05B" w:usb2="00000000" w:usb3="00000000" w:csb0="00000001" w:csb1="00000000"/>
  </w:font>
  <w:font w:name="MS Mincho">
    <w:altName w:val="Yu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Pro-Regular">
    <w:altName w:val="Calibri"/>
    <w:panose1 w:val="00000000000000000000"/>
    <w:charset w:val="00"/>
    <w:family w:val="modern"/>
    <w:notTrueType/>
    <w:pitch w:val="variable"/>
    <w:sig w:usb0="800000AF" w:usb1="4000E04A" w:usb2="00000000" w:usb3="00000000" w:csb0="00000093" w:csb1="00000000"/>
  </w:font>
  <w:font w:name="ScalaSansPro-Bold">
    <w:altName w:val="Arial"/>
    <w:panose1 w:val="00000000000000000000"/>
    <w:charset w:val="00"/>
    <w:family w:val="modern"/>
    <w:notTrueType/>
    <w:pitch w:val="variable"/>
    <w:sig w:usb0="800000AF" w:usb1="4000A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cala Sans OT">
    <w:panose1 w:val="020B0504030101020104"/>
    <w:charset w:val="00"/>
    <w:family w:val="swiss"/>
    <w:pitch w:val="variable"/>
    <w:sig w:usb0="A00000EF" w:usb1="5000E05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  <w:p/>
    <w:p/>
    <w:p/>
  </w:footnote>
  <w:footnote w:type="continuationSeparator" w:id="0">
    <w:p>
      <w:r>
        <w:continuationSeparator/>
      </w:r>
    </w:p>
    <w:p/>
    <w:p/>
    <w:p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ind w:firstLine="14"/>
      <w:rPr>
        <w:rFonts w:ascii="Scala Sans OT" w:hAnsi="Scala Sans OT"/>
        <w:lang w:val="en-US"/>
      </w:rPr>
    </w:pPr>
    <w:r>
      <w:rPr>
        <w:rFonts w:ascii="Scala Sans OT" w:hAnsi="Scala Sans OT"/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>
              <wp:simplePos x="0" y="0"/>
              <wp:positionH relativeFrom="column">
                <wp:posOffset>-914400</wp:posOffset>
              </wp:positionH>
              <wp:positionV relativeFrom="page">
                <wp:posOffset>248920</wp:posOffset>
              </wp:positionV>
              <wp:extent cx="669290" cy="194310"/>
              <wp:effectExtent l="0" t="0" r="0" b="889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2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RKISeitenzahllinke"/>
                            <w:rPr>
                              <w:rFonts w:ascii="Scala Sans OT" w:hAnsi="Scala Sans OT"/>
                            </w:rPr>
                          </w:pPr>
                          <w:r>
                            <w:rPr>
                              <w:rFonts w:ascii="Scala Sans OT" w:hAnsi="Scala Sans OT"/>
                            </w:rPr>
                            <w:fldChar w:fldCharType="begin"/>
                          </w:r>
                          <w:r>
                            <w:rPr>
                              <w:rFonts w:ascii="Scala Sans OT" w:hAnsi="Scala Sans OT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Scala Sans OT" w:hAnsi="Scala Sans OT"/>
                            </w:rPr>
                            <w:fldChar w:fldCharType="separate"/>
                          </w:r>
                          <w:r>
                            <w:rPr>
                              <w:rFonts w:ascii="Scala Sans OT" w:hAnsi="Scala Sans OT"/>
                              <w:noProof/>
                            </w:rPr>
                            <w:t>2</w:t>
                          </w:r>
                          <w:r>
                            <w:rPr>
                              <w:rFonts w:ascii="Scala Sans OT" w:hAnsi="Scala Sans OT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324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left:0;text-align:left;margin-left:-1in;margin-top:19.6pt;width:52.7pt;height:1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" filled="f" stroked="f">
              <v:textbox inset=",.9mm,,0">
                <w:txbxContent>
                  <w:p>
                    <w:pPr>
                      <w:pStyle w:val="RKISeitenzahllinke"/>
                      <w:rPr>
                        <w:rFonts w:ascii="Scala Sans OT" w:hAnsi="Scala Sans OT"/>
                      </w:rPr>
                    </w:pPr>
                    <w:r>
                      <w:rPr>
                        <w:rFonts w:ascii="Scala Sans OT" w:hAnsi="Scala Sans OT"/>
                      </w:rPr>
                      <w:fldChar w:fldCharType="begin"/>
                    </w:r>
                    <w:r>
                      <w:rPr>
                        <w:rFonts w:ascii="Scala Sans OT" w:hAnsi="Scala Sans OT"/>
                      </w:rPr>
                      <w:instrText xml:space="preserve"> PAGE  \* MERGEFORMAT </w:instrText>
                    </w:r>
                    <w:r>
                      <w:rPr>
                        <w:rFonts w:ascii="Scala Sans OT" w:hAnsi="Scala Sans OT"/>
                      </w:rPr>
                      <w:fldChar w:fldCharType="separate"/>
                    </w:r>
                    <w:r>
                      <w:rPr>
                        <w:rFonts w:ascii="Scala Sans OT" w:hAnsi="Scala Sans OT"/>
                        <w:noProof/>
                      </w:rPr>
                      <w:t>2</w:t>
                    </w:r>
                    <w:r>
                      <w:rPr>
                        <w:rFonts w:ascii="Scala Sans OT" w:hAnsi="Scala Sans OT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rFonts w:ascii="Scala Sans OT" w:hAnsi="Scala Sans OT"/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>
              <wp:simplePos x="0" y="0"/>
              <wp:positionH relativeFrom="column">
                <wp:posOffset>-906145</wp:posOffset>
              </wp:positionH>
              <wp:positionV relativeFrom="page">
                <wp:posOffset>250825</wp:posOffset>
              </wp:positionV>
              <wp:extent cx="666000" cy="180000"/>
              <wp:effectExtent l="0" t="0" r="0" b="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000" cy="180000"/>
                      </a:xfrm>
                      <a:prstGeom prst="rect">
                        <a:avLst/>
                      </a:prstGeom>
                      <a:solidFill>
                        <a:srgbClr val="045AA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1" o:spid="_x0000_s1026" style="position:absolute;margin-left:-71.35pt;margin-top:19.75pt;width:52.45pt;height:1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" fillcolor="#045aa6" stroked="f">
              <w10:wrap anchory="page"/>
              <w10:anchorlock/>
            </v:rect>
          </w:pict>
        </mc:Fallback>
      </mc:AlternateContent>
    </w:r>
    <w:r>
      <w:rPr>
        <w:rFonts w:ascii="Scala Sans OT" w:hAnsi="Scala Sans OT"/>
        <w:noProof/>
      </w:rPr>
      <mc:AlternateContent>
        <mc:Choice Requires="wps">
          <w:drawing>
            <wp:anchor distT="0" distB="0" distL="114300" distR="114300" simplePos="0" relativeHeight="251660288" behindDoc="1" locked="1" layoutInCell="1" allowOverlap="1">
              <wp:simplePos x="0" y="0"/>
              <wp:positionH relativeFrom="column">
                <wp:posOffset>-914400</wp:posOffset>
              </wp:positionH>
              <wp:positionV relativeFrom="page">
                <wp:posOffset>431800</wp:posOffset>
              </wp:positionV>
              <wp:extent cx="7086600" cy="0"/>
              <wp:effectExtent l="0" t="0" r="25400" b="2540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45AA6"/>
                        </a:solidFill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34pt" to="486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" strokecolor="#045aa6" strokeweight="1pt">
              <w10:wrap anchory="page"/>
              <w10:anchorlock/>
            </v:line>
          </w:pict>
        </mc:Fallback>
      </mc:AlternateContent>
    </w:r>
    <w:r>
      <w:rPr>
        <w:rFonts w:ascii="Scala OT" w:hAnsi="Scala OT"/>
        <w:lang w:val="en-US"/>
      </w:rPr>
      <w:t xml:space="preserve"> </w:t>
    </w:r>
    <w:r>
      <w:rPr>
        <w:rFonts w:ascii="Scala OT" w:hAnsi="Scala OT"/>
        <w:lang w:val="en-US"/>
      </w:rPr>
      <w:t xml:space="preserve">Assessment of a peer-reviewed epidemiological study: </w:t>
    </w:r>
    <w:r>
      <w:rPr>
        <w:rFonts w:ascii="Scala OT" w:hAnsi="Scala OT"/>
        <w:lang w:val="en-GB"/>
      </w:rPr>
      <w:t>SARS-CoV-2 re-infection risk in Austria,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RKISeitenzahllinke"/>
      <w:framePr w:wrap="around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>
    <w:pPr>
      <w:pStyle w:val="Header"/>
      <w:ind w:left="-181" w:right="0" w:firstLine="360"/>
      <w:jc w:val="right"/>
      <w:rPr>
        <w:rFonts w:ascii="Scala Sans OT" w:hAnsi="Scala Sans OT"/>
        <w:lang w:val="en-US"/>
      </w:rPr>
    </w:pPr>
    <w:r>
      <w:rPr>
        <w:rFonts w:ascii="Scala Sans OT" w:hAnsi="Scala Sans OT"/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>
              <wp:simplePos x="0" y="0"/>
              <wp:positionH relativeFrom="column">
                <wp:posOffset>5998210</wp:posOffset>
              </wp:positionH>
              <wp:positionV relativeFrom="page">
                <wp:posOffset>248920</wp:posOffset>
              </wp:positionV>
              <wp:extent cx="631190" cy="189230"/>
              <wp:effectExtent l="0" t="0" r="0" b="1397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119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RKISeitenzahlrechte"/>
                            <w:rPr>
                              <w:rFonts w:ascii="Scala Sans OT" w:hAnsi="Scala Sans OT"/>
                            </w:rPr>
                          </w:pPr>
                          <w:r>
                            <w:rPr>
                              <w:rFonts w:ascii="Scala Sans OT" w:hAnsi="Scala Sans OT"/>
                            </w:rPr>
                            <w:fldChar w:fldCharType="begin"/>
                          </w:r>
                          <w:r>
                            <w:rPr>
                              <w:rFonts w:ascii="Scala Sans OT" w:hAnsi="Scala Sans OT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Scala Sans OT" w:hAnsi="Scala Sans OT"/>
                            </w:rPr>
                            <w:fldChar w:fldCharType="separate"/>
                          </w:r>
                          <w:r>
                            <w:rPr>
                              <w:rFonts w:ascii="Scala Sans OT" w:hAnsi="Scala Sans OT"/>
                              <w:noProof/>
                            </w:rPr>
                            <w:t>3</w:t>
                          </w:r>
                          <w:r>
                            <w:rPr>
                              <w:rFonts w:ascii="Scala Sans OT" w:hAnsi="Scala Sans OT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324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8" o:spid="_x0000_s1027" type="#_x0000_t202" style="position:absolute;left:0;text-align:left;margin-left:472.3pt;margin-top:19.6pt;width:49.7pt;height:1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" filled="f" stroked="f">
              <v:textbox inset=",.9mm,,0">
                <w:txbxContent>
                  <w:p>
                    <w:pPr>
                      <w:pStyle w:val="RKISeitenzahlrechte"/>
                      <w:rPr>
                        <w:rFonts w:ascii="Scala Sans OT" w:hAnsi="Scala Sans OT"/>
                      </w:rPr>
                    </w:pPr>
                    <w:r>
                      <w:rPr>
                        <w:rFonts w:ascii="Scala Sans OT" w:hAnsi="Scala Sans OT"/>
                      </w:rPr>
                      <w:fldChar w:fldCharType="begin"/>
                    </w:r>
                    <w:r>
                      <w:rPr>
                        <w:rFonts w:ascii="Scala Sans OT" w:hAnsi="Scala Sans OT"/>
                      </w:rPr>
                      <w:instrText xml:space="preserve"> PAGE  \* MERGEFORMAT </w:instrText>
                    </w:r>
                    <w:r>
                      <w:rPr>
                        <w:rFonts w:ascii="Scala Sans OT" w:hAnsi="Scala Sans OT"/>
                      </w:rPr>
                      <w:fldChar w:fldCharType="separate"/>
                    </w:r>
                    <w:r>
                      <w:rPr>
                        <w:rFonts w:ascii="Scala Sans OT" w:hAnsi="Scala Sans OT"/>
                        <w:noProof/>
                      </w:rPr>
                      <w:t>3</w:t>
                    </w:r>
                    <w:r>
                      <w:rPr>
                        <w:rFonts w:ascii="Scala Sans OT" w:hAnsi="Scala Sans OT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rFonts w:ascii="Scala Sans OT" w:hAnsi="Scala Sans OT"/>
        <w:noProof/>
      </w:rPr>
      <mc:AlternateContent>
        <mc:Choice Requires="wps">
          <w:drawing>
            <wp:anchor distT="0" distB="0" distL="114300" distR="114300" simplePos="0" relativeHeight="251662336" behindDoc="1" locked="1" layoutInCell="1" allowOverlap="1">
              <wp:simplePos x="0" y="0"/>
              <wp:positionH relativeFrom="column">
                <wp:posOffset>5997575</wp:posOffset>
              </wp:positionH>
              <wp:positionV relativeFrom="page">
                <wp:posOffset>250825</wp:posOffset>
              </wp:positionV>
              <wp:extent cx="665480" cy="179705"/>
              <wp:effectExtent l="0" t="0" r="0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5480" cy="179705"/>
                      </a:xfrm>
                      <a:prstGeom prst="rect">
                        <a:avLst/>
                      </a:prstGeom>
                      <a:solidFill>
                        <a:srgbClr val="045AA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0" o:spid="_x0000_s1026" style="position:absolute;margin-left:472.25pt;margin-top:19.75pt;width:52.4pt;height:14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" fillcolor="#045aa6" stroked="f">
              <w10:wrap anchory="page"/>
              <w10:anchorlock/>
            </v:rect>
          </w:pict>
        </mc:Fallback>
      </mc:AlternateContent>
    </w:r>
    <w:r>
      <w:rPr>
        <w:rFonts w:ascii="Scala Sans OT" w:hAnsi="Scala Sans OT"/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>
              <wp:simplePos x="0" y="0"/>
              <wp:positionH relativeFrom="column">
                <wp:posOffset>-421640</wp:posOffset>
              </wp:positionH>
              <wp:positionV relativeFrom="page">
                <wp:posOffset>431800</wp:posOffset>
              </wp:positionV>
              <wp:extent cx="7086600" cy="0"/>
              <wp:effectExtent l="0" t="0" r="25400" b="25400"/>
              <wp:wrapNone/>
              <wp:docPr id="14" name="Gerade Verbindung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45AA6"/>
                        </a:solidFill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1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33.2pt,34pt" to="524.8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" strokecolor="#045aa6" strokeweight="1pt">
              <w10:wrap anchory="page"/>
              <w10:anchorlock/>
            </v:line>
          </w:pict>
        </mc:Fallback>
      </mc:AlternateContent>
    </w:r>
    <w:r>
      <w:rPr>
        <w:rFonts w:ascii="Scala OT" w:hAnsi="Scala OT"/>
        <w:lang w:val="en-US"/>
      </w:rPr>
      <w:t xml:space="preserve"> </w:t>
    </w:r>
    <w:r>
      <w:rPr>
        <w:rFonts w:ascii="Scala OT" w:hAnsi="Scala OT"/>
        <w:lang w:val="en-US"/>
      </w:rPr>
      <w:t xml:space="preserve">Assessment of a peer-reviewed epidemiological study: </w:t>
    </w:r>
    <w:r>
      <w:rPr>
        <w:rFonts w:ascii="Scala OT" w:hAnsi="Scala OT"/>
        <w:lang w:val="en-GB"/>
      </w:rPr>
      <w:t>SARS-CoV-2 re-infection risk in Austria, 2021</w:t>
    </w:r>
    <w:r>
      <w:rPr>
        <w:rFonts w:ascii="Scala OT" w:hAnsi="Scala OT"/>
        <w:lang w:val="en-US"/>
      </w:rPr>
      <w:t>, Berlin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D7B2F"/>
    <w:multiLevelType w:val="hybridMultilevel"/>
    <w:tmpl w:val="080E3D14"/>
    <w:lvl w:ilvl="0" w:tplc="46721AFE">
      <w:start w:val="1"/>
      <w:numFmt w:val="decimal"/>
      <w:lvlText w:val="%1)"/>
      <w:lvlJc w:val="left"/>
      <w:pPr>
        <w:ind w:left="1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10" w:hanging="360"/>
      </w:pPr>
    </w:lvl>
    <w:lvl w:ilvl="2" w:tplc="0407001B" w:tentative="1">
      <w:start w:val="1"/>
      <w:numFmt w:val="lowerRoman"/>
      <w:lvlText w:val="%3."/>
      <w:lvlJc w:val="right"/>
      <w:pPr>
        <w:ind w:left="1630" w:hanging="180"/>
      </w:pPr>
    </w:lvl>
    <w:lvl w:ilvl="3" w:tplc="0407000F" w:tentative="1">
      <w:start w:val="1"/>
      <w:numFmt w:val="decimal"/>
      <w:lvlText w:val="%4."/>
      <w:lvlJc w:val="left"/>
      <w:pPr>
        <w:ind w:left="2350" w:hanging="360"/>
      </w:pPr>
    </w:lvl>
    <w:lvl w:ilvl="4" w:tplc="04070019" w:tentative="1">
      <w:start w:val="1"/>
      <w:numFmt w:val="lowerLetter"/>
      <w:lvlText w:val="%5."/>
      <w:lvlJc w:val="left"/>
      <w:pPr>
        <w:ind w:left="3070" w:hanging="360"/>
      </w:pPr>
    </w:lvl>
    <w:lvl w:ilvl="5" w:tplc="0407001B" w:tentative="1">
      <w:start w:val="1"/>
      <w:numFmt w:val="lowerRoman"/>
      <w:lvlText w:val="%6."/>
      <w:lvlJc w:val="right"/>
      <w:pPr>
        <w:ind w:left="3790" w:hanging="180"/>
      </w:pPr>
    </w:lvl>
    <w:lvl w:ilvl="6" w:tplc="0407000F" w:tentative="1">
      <w:start w:val="1"/>
      <w:numFmt w:val="decimal"/>
      <w:lvlText w:val="%7."/>
      <w:lvlJc w:val="left"/>
      <w:pPr>
        <w:ind w:left="4510" w:hanging="360"/>
      </w:pPr>
    </w:lvl>
    <w:lvl w:ilvl="7" w:tplc="04070019" w:tentative="1">
      <w:start w:val="1"/>
      <w:numFmt w:val="lowerLetter"/>
      <w:lvlText w:val="%8."/>
      <w:lvlJc w:val="left"/>
      <w:pPr>
        <w:ind w:left="5230" w:hanging="360"/>
      </w:pPr>
    </w:lvl>
    <w:lvl w:ilvl="8" w:tplc="0407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1" w15:restartNumberingAfterBreak="0">
    <w:nsid w:val="1017752D"/>
    <w:multiLevelType w:val="hybridMultilevel"/>
    <w:tmpl w:val="840E7C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6460B"/>
    <w:multiLevelType w:val="hybridMultilevel"/>
    <w:tmpl w:val="F6D03ABC"/>
    <w:lvl w:ilvl="0" w:tplc="6B60A3AE">
      <w:start w:val="1"/>
      <w:numFmt w:val="bullet"/>
      <w:lvlText w:val="-"/>
      <w:lvlJc w:val="left"/>
      <w:pPr>
        <w:ind w:left="1066" w:hanging="360"/>
      </w:pPr>
      <w:rPr>
        <w:rFonts w:ascii="Scala OT" w:eastAsiaTheme="minorEastAsia" w:hAnsi="Scala O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" w15:restartNumberingAfterBreak="0">
    <w:nsid w:val="53CC760B"/>
    <w:multiLevelType w:val="hybridMultilevel"/>
    <w:tmpl w:val="7A523E78"/>
    <w:lvl w:ilvl="0" w:tplc="F70AEAE8">
      <w:start w:val="1"/>
      <w:numFmt w:val="decimal"/>
      <w:lvlText w:val="%1."/>
      <w:lvlJc w:val="left"/>
      <w:pPr>
        <w:ind w:left="1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10" w:hanging="360"/>
      </w:pPr>
    </w:lvl>
    <w:lvl w:ilvl="2" w:tplc="0407001B" w:tentative="1">
      <w:start w:val="1"/>
      <w:numFmt w:val="lowerRoman"/>
      <w:lvlText w:val="%3."/>
      <w:lvlJc w:val="right"/>
      <w:pPr>
        <w:ind w:left="1630" w:hanging="180"/>
      </w:pPr>
    </w:lvl>
    <w:lvl w:ilvl="3" w:tplc="0407000F" w:tentative="1">
      <w:start w:val="1"/>
      <w:numFmt w:val="decimal"/>
      <w:lvlText w:val="%4."/>
      <w:lvlJc w:val="left"/>
      <w:pPr>
        <w:ind w:left="2350" w:hanging="360"/>
      </w:pPr>
    </w:lvl>
    <w:lvl w:ilvl="4" w:tplc="04070019" w:tentative="1">
      <w:start w:val="1"/>
      <w:numFmt w:val="lowerLetter"/>
      <w:lvlText w:val="%5."/>
      <w:lvlJc w:val="left"/>
      <w:pPr>
        <w:ind w:left="3070" w:hanging="360"/>
      </w:pPr>
    </w:lvl>
    <w:lvl w:ilvl="5" w:tplc="0407001B" w:tentative="1">
      <w:start w:val="1"/>
      <w:numFmt w:val="lowerRoman"/>
      <w:lvlText w:val="%6."/>
      <w:lvlJc w:val="right"/>
      <w:pPr>
        <w:ind w:left="3790" w:hanging="180"/>
      </w:pPr>
    </w:lvl>
    <w:lvl w:ilvl="6" w:tplc="0407000F" w:tentative="1">
      <w:start w:val="1"/>
      <w:numFmt w:val="decimal"/>
      <w:lvlText w:val="%7."/>
      <w:lvlJc w:val="left"/>
      <w:pPr>
        <w:ind w:left="4510" w:hanging="360"/>
      </w:pPr>
    </w:lvl>
    <w:lvl w:ilvl="7" w:tplc="04070019" w:tentative="1">
      <w:start w:val="1"/>
      <w:numFmt w:val="lowerLetter"/>
      <w:lvlText w:val="%8."/>
      <w:lvlJc w:val="left"/>
      <w:pPr>
        <w:ind w:left="5230" w:hanging="360"/>
      </w:pPr>
    </w:lvl>
    <w:lvl w:ilvl="8" w:tplc="0407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4" w15:restartNumberingAfterBreak="0">
    <w:nsid w:val="5E896F27"/>
    <w:multiLevelType w:val="hybridMultilevel"/>
    <w:tmpl w:val="671C30F8"/>
    <w:lvl w:ilvl="0" w:tplc="2DDCAAB4">
      <w:start w:val="1"/>
      <w:numFmt w:val="bullet"/>
      <w:lvlText w:val=""/>
      <w:lvlJc w:val="left"/>
      <w:pPr>
        <w:ind w:left="1066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64F611E1-111F-461B-9F24-3FB6EF5F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300" w:lineRule="auto"/>
      <w:ind w:left="-170"/>
    </w:pPr>
    <w:rPr>
      <w:rFonts w:ascii="ScalaSansPro-Regular" w:hAnsi="ScalaSansPro-Regular"/>
      <w:sz w:val="20"/>
      <w:szCs w:val="20"/>
    </w:rPr>
  </w:style>
  <w:style w:type="paragraph" w:styleId="Heading1">
    <w:name w:val="heading 1"/>
    <w:aliases w:val="Scala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ScalaSansPro-Bold" w:eastAsiaTheme="majorEastAsia" w:hAnsi="ScalaSansPro-Bold" w:cstheme="majorBidi"/>
      <w:bCs/>
      <w:color w:val="045AA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customStyle="1" w:styleId="RKIFLAGLINE">
    <w:name w:val="__RKI_FLAGLINE"/>
    <w:qFormat/>
    <w:pPr>
      <w:spacing w:after="120" w:line="240" w:lineRule="exact"/>
    </w:pPr>
    <w:rPr>
      <w:rFonts w:ascii="ScalaSansPro-Regular" w:hAnsi="ScalaSansPro-Regular"/>
      <w:caps/>
      <w:color w:val="FFFFFF" w:themeColor="background1"/>
      <w:spacing w:val="4"/>
      <w:sz w:val="22"/>
      <w:szCs w:val="22"/>
      <w14:numForm w14:val="lining"/>
    </w:rPr>
  </w:style>
  <w:style w:type="paragraph" w:customStyle="1" w:styleId="RKITitel">
    <w:name w:val="__RKI_Titel"/>
    <w:autoRedefine/>
    <w:qFormat/>
    <w:pPr>
      <w:spacing w:line="504" w:lineRule="exact"/>
    </w:pPr>
    <w:rPr>
      <w:rFonts w:ascii="ScalaSansPro-Bold" w:hAnsi="ScalaSansPro-Bold"/>
      <w:color w:val="FFFFFF" w:themeColor="background1"/>
      <w:sz w:val="48"/>
      <w:szCs w:val="48"/>
    </w:rPr>
  </w:style>
  <w:style w:type="paragraph" w:customStyle="1" w:styleId="TextU4">
    <w:name w:val="Text U4"/>
    <w:basedOn w:val="Normal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ScalaSansPro-Regular"/>
      <w:color w:val="FFFFFF"/>
    </w:rPr>
  </w:style>
  <w:style w:type="paragraph" w:styleId="Header">
    <w:name w:val="header"/>
    <w:aliases w:val="__RKI_Kopfzeile"/>
    <w:link w:val="HeaderChar"/>
    <w:uiPriority w:val="99"/>
    <w:unhideWhenUsed/>
    <w:pPr>
      <w:tabs>
        <w:tab w:val="center" w:pos="4536"/>
        <w:tab w:val="right" w:pos="9072"/>
      </w:tabs>
      <w:ind w:left="-182" w:right="360"/>
    </w:pPr>
    <w:rPr>
      <w:rFonts w:ascii="ScalaSansPro-Regular" w:hAnsi="ScalaSansPro-Regular"/>
      <w:color w:val="045AA6"/>
      <w:sz w:val="16"/>
      <w:szCs w:val="16"/>
    </w:rPr>
  </w:style>
  <w:style w:type="character" w:customStyle="1" w:styleId="HeaderChar">
    <w:name w:val="Header Char"/>
    <w:aliases w:val="__RKI_Kopfzeile Char"/>
    <w:basedOn w:val="DefaultParagraphFont"/>
    <w:link w:val="Header"/>
    <w:uiPriority w:val="99"/>
    <w:rPr>
      <w:rFonts w:ascii="ScalaSansPro-Regular" w:hAnsi="ScalaSansPro-Regular"/>
      <w:color w:val="045AA6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ageNumber">
    <w:name w:val="page number"/>
    <w:basedOn w:val="DefaultParagraphFont"/>
    <w:uiPriority w:val="99"/>
    <w:semiHidden/>
    <w:unhideWhenUsed/>
  </w:style>
  <w:style w:type="paragraph" w:customStyle="1" w:styleId="scala">
    <w:name w:val="scala"/>
    <w:basedOn w:val="Header"/>
    <w:pPr>
      <w:framePr w:w="1049" w:h="284" w:hRule="exact" w:wrap="around" w:vAnchor="page" w:hAnchor="page" w:y="1" w:anchorLock="1"/>
    </w:pPr>
  </w:style>
  <w:style w:type="paragraph" w:customStyle="1" w:styleId="RKISeitenzahllinke">
    <w:name w:val="__RKI_Seitenzahl_linke"/>
    <w:basedOn w:val="Header"/>
    <w:qFormat/>
    <w:pPr>
      <w:framePr w:wrap="around" w:vAnchor="page" w:hAnchor="page" w:x="608" w:y="460" w:anchorLock="1"/>
      <w:ind w:left="-181" w:right="113"/>
      <w:jc w:val="right"/>
    </w:pPr>
    <w:rPr>
      <w:color w:val="FFFFFF" w:themeColor="background1"/>
      <w14:numForm w14:val="oldStyle"/>
    </w:rPr>
  </w:style>
  <w:style w:type="character" w:customStyle="1" w:styleId="Heading1Char">
    <w:name w:val="Heading 1 Char"/>
    <w:aliases w:val="Scala Char"/>
    <w:basedOn w:val="DefaultParagraphFont"/>
    <w:link w:val="Heading1"/>
    <w:uiPriority w:val="9"/>
    <w:rPr>
      <w:rFonts w:ascii="ScalaSansPro-Bold" w:eastAsiaTheme="majorEastAsia" w:hAnsi="ScalaSansPro-Bold" w:cstheme="majorBidi"/>
      <w:bCs/>
      <w:color w:val="045AA6"/>
      <w:sz w:val="32"/>
      <w:szCs w:val="32"/>
    </w:rPr>
  </w:style>
  <w:style w:type="paragraph" w:customStyle="1" w:styleId="RKISeitenzahlrechte">
    <w:name w:val="__RKI_Seitenzahl_rechte"/>
    <w:basedOn w:val="RKISeitenzahllinke"/>
    <w:qFormat/>
    <w:pPr>
      <w:framePr w:wrap="around"/>
      <w:ind w:left="113" w:right="-181"/>
      <w:jc w:val="left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ScalaSansPro-Regular" w:hAnsi="ScalaSansPro-Regul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ScalaSansPro-Regular" w:hAnsi="ScalaSansPro-Regula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9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nhlbi.nih.gov/health-topics/study-quality-assessment-tool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bi.global/sites/default/files/2020-10/Checklist_for_Cohort_Studies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55FE21-71B4-4A31-852A-BAEBA94AD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800</Words>
  <Characters>4566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Robert Koch-Institut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Christian  Weber</dc:creator>
  <cp:lastModifiedBy>El Bcheraoui, Charbel</cp:lastModifiedBy>
  <cp:revision>3</cp:revision>
  <cp:lastPrinted>2015-11-27T15:24:00Z</cp:lastPrinted>
  <dcterms:created xsi:type="dcterms:W3CDTF">2021-02-18T11:13:00Z</dcterms:created>
  <dcterms:modified xsi:type="dcterms:W3CDTF">2021-02-18T11:33:00Z</dcterms:modified>
</cp:coreProperties>
</file>