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10.03.2021: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FG32, FG33, FG34, FG36, FG37, FG38, AL3, IBBS, ZBS1, ZBS-L, P1, P4, INIG, ZIG-L,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 xml:space="preserve">Corona-KiTa-Studie </w:t>
            </w:r>
            <w:r>
              <w:rPr>
                <w:b/>
                <w:color w:val="FF0000"/>
                <w:sz w:val="20"/>
              </w:rPr>
              <w:t>(nur montags)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 xml:space="preserve">Syndromische Surveillance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 xml:space="preserve">Virologische </w:t>
            </w:r>
            <w:proofErr w:type="gramStart"/>
            <w:r>
              <w:rPr>
                <w:sz w:val="22"/>
              </w:rPr>
              <w:t>Surveillance,  NRZ</w:t>
            </w:r>
            <w:proofErr w:type="gramEnd"/>
            <w:r>
              <w:rPr>
                <w:sz w:val="22"/>
              </w:rPr>
              <w:t xml:space="preserve">-Influenza-Daten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 xml:space="preserve">Testkapazität und </w:t>
            </w:r>
            <w:proofErr w:type="gramStart"/>
            <w:r>
              <w:rPr>
                <w:sz w:val="22"/>
              </w:rPr>
              <w:t>Testungen</w:t>
            </w:r>
            <w:r>
              <w:rPr>
                <w:b/>
                <w:color w:val="FF0000"/>
                <w:sz w:val="20"/>
              </w:rPr>
              <w:t>(</w:t>
            </w:r>
            <w:proofErr w:type="gramEnd"/>
            <w:r>
              <w:rPr>
                <w:b/>
                <w:color w:val="FF0000"/>
                <w:sz w:val="20"/>
              </w:rPr>
              <w:t>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rPr>
                <w:sz w:val="22"/>
              </w:rPr>
              <w:t xml:space="preserve">ARS-Daten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sz w:val="22"/>
              </w:rPr>
              <w:t xml:space="preserve">Zahlen zum DIVI-Intensivregister </w:t>
            </w:r>
            <w:r>
              <w:rPr>
                <w:b/>
                <w:color w:val="FF0000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rPr>
                <w:sz w:val="22"/>
              </w:rPr>
              <w:t>Entwicklung bei Kindern und Jugendlichen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MF4</w:t>
            </w:r>
          </w:p>
          <w:p>
            <w:r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  <w:r>
              <w:rPr>
                <w:rFonts w:cstheme="majorHAnsi"/>
                <w:sz w:val="22"/>
              </w:rPr>
              <w:t>Kommunikation zum Screening mit Antigentests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rFonts w:cstheme="majorHAnsi"/>
              </w:r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P1 (Jenny)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NurTex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direkter Erregernachweis und Teststrategie; 08.02.21)</w:t>
            </w:r>
          </w:p>
          <w:p>
            <w:pPr>
              <w:pStyle w:val="NurTex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eine Synopse zum aktuellen Sachstand (Update Teststrategie) einschließlich des Bereiches "Schulen" </w:t>
            </w:r>
          </w:p>
          <w:p>
            <w:pPr>
              <w:pStyle w:val="NurTex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lastRenderedPageBreak/>
              <w:t>[ID 3026]: Prüfung der Quarantäne bei Geimpften/</w:t>
            </w:r>
            <w:proofErr w:type="spellStart"/>
            <w:r>
              <w:t>Reconvaleszenten</w:t>
            </w:r>
            <w:proofErr w:type="spellEnd"/>
          </w:p>
          <w:p>
            <w:pPr>
              <w:pStyle w:val="NurTex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>
              <w:t>Kommunikation zu Ostern (und anderen religiösen Anlässen) in Bezug auf Verhaltensempfehlungen in verschiedenen Sprachen</w:t>
            </w:r>
          </w:p>
          <w:p>
            <w:pPr>
              <w:pStyle w:val="Listenabsatz"/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Konzept, mögliche Nutzung der CWA für Covid-19 -Risikofaktorstudien</w:t>
            </w: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>
            <w:r>
              <w:t>Mielke</w:t>
            </w:r>
          </w:p>
          <w:p/>
          <w:p/>
          <w:p>
            <w:r>
              <w:t>Wichmann</w:t>
            </w:r>
          </w:p>
          <w:p/>
          <w:p>
            <w:r>
              <w:t>Haas</w:t>
            </w:r>
          </w:p>
          <w:p/>
          <w:p/>
          <w:p/>
          <w:p/>
          <w:p>
            <w:r>
              <w:t>Wilking, Schmich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Kritis</w:t>
            </w:r>
            <w:proofErr w:type="spellEnd"/>
            <w:r>
              <w:rPr>
                <w:rFonts w:asciiTheme="minorHAnsi" w:hAnsiTheme="minorHAnsi"/>
              </w:rPr>
              <w:t xml:space="preserve"> Papier auf Bitten des BMG überarbeitet, über Freigabe entscheiden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Major Differences in ICU admission: Lancet Resp Med </w:t>
            </w:r>
            <w:r>
              <w:rPr>
                <w:rFonts w:asciiTheme="minorHAnsi" w:hAnsiTheme="minorHAnsi"/>
                <w:i/>
                <w:lang w:val="en-US"/>
              </w:rPr>
              <w:t xml:space="preserve">(im </w:t>
            </w:r>
            <w:proofErr w:type="spellStart"/>
            <w:r>
              <w:rPr>
                <w:rFonts w:asciiTheme="minorHAnsi" w:hAnsiTheme="minorHAnsi"/>
                <w:i/>
                <w:lang w:val="en-US"/>
              </w:rPr>
              <w:t>Ordner</w:t>
            </w:r>
            <w:proofErr w:type="spellEnd"/>
            <w:r>
              <w:rPr>
                <w:rFonts w:asciiTheme="minorHAnsi" w:hAnsi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lang w:val="en-US"/>
              </w:rPr>
              <w:t>abgelegt</w:t>
            </w:r>
            <w:proofErr w:type="spellEnd"/>
            <w:r>
              <w:rPr>
                <w:rFonts w:asciiTheme="minorHAnsi" w:hAnsiTheme="minorHAnsi"/>
                <w:i/>
                <w:lang w:val="en-US"/>
              </w:rPr>
              <w:t>)</w:t>
            </w:r>
          </w:p>
          <w:p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t>Kontaktpersonennachverfolgung bei positivem AG-Schnelltest</w:t>
            </w:r>
          </w:p>
          <w:p>
            <w:pPr>
              <w:pStyle w:val="NurText"/>
            </w:pP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Eckmanns</w:t>
            </w:r>
          </w:p>
          <w:p/>
          <w:p/>
          <w:p/>
          <w:p>
            <w:r>
              <w:t>Haas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Ggf. Soziodemographische Faktoren für schweren Verlauf?</w:t>
            </w:r>
          </w:p>
        </w:tc>
        <w:tc>
          <w:tcPr>
            <w:tcW w:w="1809" w:type="dxa"/>
          </w:tcPr>
          <w:p>
            <w:r>
              <w:t>IBBS</w:t>
            </w:r>
          </w:p>
          <w:p>
            <w:r>
              <w:t>FG38/FG28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  <w:p/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sz w:val="22"/>
              </w:rPr>
              <w:t>Impfung Feldteams</w:t>
            </w:r>
          </w:p>
        </w:tc>
        <w:tc>
          <w:tcPr>
            <w:tcW w:w="1809" w:type="dxa"/>
          </w:tcPr>
          <w:p>
            <w:r>
              <w:t>FG38 Eckmanns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Wichtige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Termine</w:t>
            </w:r>
            <w:proofErr w:type="spellEnd"/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Sitzung</w:t>
            </w:r>
            <w:proofErr w:type="spellEnd"/>
            <w:r>
              <w:rPr>
                <w:sz w:val="22"/>
                <w:lang w:val="en-GB"/>
              </w:rPr>
              <w:t xml:space="preserve"> G20 innovative Public Health Officers (PHOs) training </w:t>
            </w:r>
            <w:proofErr w:type="spellStart"/>
            <w:r>
              <w:rPr>
                <w:sz w:val="22"/>
                <w:lang w:val="en-GB"/>
              </w:rPr>
              <w:t>Laboratorium</w:t>
            </w:r>
            <w:proofErr w:type="spellEnd"/>
            <w:r>
              <w:rPr>
                <w:sz w:val="22"/>
                <w:lang w:val="en-GB"/>
              </w:rPr>
              <w:t xml:space="preserve"> (TN: K. Alpers)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  <w:sz w:val="22"/>
              </w:rPr>
            </w:pPr>
            <w:r>
              <w:rPr>
                <w:sz w:val="22"/>
              </w:rPr>
              <w:t>Nächste Sitzung: Freitag, 12.03.2021,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CC3"/>
    <w:multiLevelType w:val="hybridMultilevel"/>
    <w:tmpl w:val="666E265A"/>
    <w:lvl w:ilvl="0" w:tplc="D96A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02D4D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FD682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C5D01"/>
    <w:multiLevelType w:val="hybridMultilevel"/>
    <w:tmpl w:val="3F9EF1AE"/>
    <w:lvl w:ilvl="0" w:tplc="99AA7AF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4E9D"/>
    <w:multiLevelType w:val="hybridMultilevel"/>
    <w:tmpl w:val="51B86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8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34</cp:revision>
  <cp:lastPrinted>2020-03-13T12:00:00Z</cp:lastPrinted>
  <dcterms:created xsi:type="dcterms:W3CDTF">2021-01-01T13:48:00Z</dcterms:created>
  <dcterms:modified xsi:type="dcterms:W3CDTF">2022-12-22T13:12:00Z</dcterms:modified>
</cp:coreProperties>
</file>