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el"/>
        <w:rPr>
          <w:lang w:val="de-DE"/>
        </w:rPr>
      </w:pPr>
      <w:r>
        <w:rPr>
          <w:lang w:val="de-DE"/>
        </w:rPr>
        <w:t xml:space="preserve">Kurzbericht zu </w:t>
      </w:r>
    </w:p>
    <w:p>
      <w:pPr>
        <w:pStyle w:val="Titel"/>
        <w:rPr>
          <w:i/>
          <w:lang w:val="de-DE"/>
        </w:rPr>
      </w:pPr>
      <w:r>
        <w:rPr>
          <w:i/>
          <w:lang w:val="de-DE"/>
        </w:rPr>
        <w:t>Variant of Interest (VOI): A.27</w:t>
      </w:r>
    </w:p>
    <w:p>
      <w:pPr>
        <w:rPr>
          <w:lang w:val="de-DE"/>
        </w:rPr>
      </w:pPr>
    </w:p>
    <w:p>
      <w:pPr>
        <w:pStyle w:val="Untertitel"/>
        <w:rPr>
          <w:lang w:val="de-DE"/>
        </w:rPr>
      </w:pPr>
      <w:r>
        <w:rPr>
          <w:lang w:val="de-DE"/>
        </w:rPr>
        <w:t>Hintergrund: Auf Grund der vermehrten Detektion der SARS-CoV-2 Variante A.27 innerhalb von Genomsequenzen aus Deutschland wurden die aktuell verfügbaren Informationen zusammengetragen</w:t>
      </w:r>
    </w:p>
    <w:p>
      <w:pPr>
        <w:rPr>
          <w:lang w:val="de-DE"/>
        </w:rPr>
      </w:pPr>
    </w:p>
    <w:p>
      <w:pPr>
        <w:rPr>
          <w:lang w:val="de-DE"/>
        </w:rPr>
      </w:pPr>
      <w:r>
        <w:rPr>
          <w:lang w:val="de-DE"/>
        </w:rPr>
        <w:br/>
        <w:t>Stand: 30.03.2021</w:t>
      </w:r>
    </w:p>
    <w:p>
      <w:pPr>
        <w:shd w:val="clear" w:color="auto" w:fill="DBE5F1" w:themeFill="accent1" w:themeFillTint="33"/>
        <w:rPr>
          <w:rStyle w:val="jlqj4b"/>
          <w:i/>
          <w:lang w:val="de-DE"/>
        </w:rPr>
      </w:pPr>
      <w:r>
        <w:rPr>
          <w:b/>
          <w:i/>
          <w:lang w:val="de-DE"/>
        </w:rPr>
        <w:t>Fazit:</w:t>
      </w:r>
      <w:r>
        <w:rPr>
          <w:i/>
          <w:lang w:val="de-DE"/>
        </w:rPr>
        <w:t xml:space="preserve"> Die Autoren halten es für wichtig die Detektionshäufigkeit und phänotypischen Besonderheiten der SARS-CoV-2 Variante A.27 im Detail zu beobachten, da sie Mutationen aufweist, die sowohl mit höherer Übertragbarkeit, als auch mit reduzierter </w:t>
      </w:r>
      <w:proofErr w:type="spellStart"/>
      <w:r>
        <w:rPr>
          <w:i/>
          <w:lang w:val="de-DE"/>
        </w:rPr>
        <w:t>Antikörperreaktivität</w:t>
      </w:r>
      <w:proofErr w:type="spellEnd"/>
      <w:r>
        <w:rPr>
          <w:i/>
          <w:lang w:val="de-DE"/>
        </w:rPr>
        <w:t xml:space="preserve"> assoziiert sind. Die A.27 Linie wurde in Deutschland erstmals in KW 01 nachgewiesen und erreichte in KW o8 einen Anteil von mehr als 5%, insbesondere in BW, der seither allerdings deutlich abfällt. Die Linie wurde weiterhin auch in anderen europäischen Ländern (UK; F, SLO) und in Afrika (Mayotte) nachgewiesen.  Aber sowohl international</w:t>
      </w:r>
      <w:r>
        <w:rPr>
          <w:rStyle w:val="jlqj4b"/>
          <w:i/>
          <w:lang w:val="de-DE"/>
        </w:rPr>
        <w:t xml:space="preserve">, als auch der Trend in Deutschland deuten darauf hin, dass A.27 sich nicht gegenüber B.1.1.7 durchsetzen wird, da die Fallzahlen konstant bleiben und keine starke Ausbreitung feststellbar ist. </w:t>
      </w:r>
    </w:p>
    <w:p>
      <w:pPr>
        <w:rPr>
          <w:lang w:val="de-DE"/>
        </w:rPr>
      </w:pPr>
    </w:p>
    <w:p>
      <w:pPr>
        <w:pStyle w:val="berschrift1"/>
        <w:rPr>
          <w:lang w:val="de-DE"/>
        </w:rPr>
      </w:pPr>
      <w:bookmarkStart w:id="0" w:name="_Toc68033478"/>
      <w:r>
        <w:rPr>
          <w:lang w:val="de-DE"/>
        </w:rPr>
        <w:t>Epidemiologische Informationen</w:t>
      </w:r>
      <w:bookmarkEnd w:id="0"/>
    </w:p>
    <w:p>
      <w:pPr>
        <w:pStyle w:val="berschrift2"/>
        <w:rPr>
          <w:lang w:val="de-DE"/>
        </w:rPr>
      </w:pPr>
      <w:bookmarkStart w:id="1" w:name="_Toc68033479"/>
      <w:r>
        <w:rPr>
          <w:lang w:val="de-DE"/>
        </w:rPr>
        <w:t>International</w:t>
      </w:r>
      <w:bookmarkEnd w:id="1"/>
      <w:r>
        <w:rPr>
          <w:lang w:val="de-DE"/>
        </w:rPr>
        <w:t xml:space="preserve"> (Kontext)</w:t>
      </w:r>
    </w:p>
    <w:p>
      <w:pPr>
        <w:pStyle w:val="berschrift2"/>
        <w:numPr>
          <w:ilvl w:val="0"/>
          <w:numId w:val="1"/>
        </w:numPr>
        <w:rPr>
          <w:lang w:val="de-DE"/>
        </w:rPr>
      </w:pPr>
      <w:bookmarkStart w:id="2" w:name="_Toc68033480"/>
      <w: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t>Bisher wurden 218 Genome auf GISAID (Stand 29. März) hochgeladen</w:t>
      </w:r>
      <w:r>
        <w:rPr>
          <w:lang w:val="de-DE"/>
        </w:rPr>
        <w:t>, s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t>ie stammen aus 17 (meist europäischen) Ländern.</w:t>
      </w:r>
      <w:bookmarkEnd w:id="2"/>
      <w: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t xml:space="preserve"> </w:t>
      </w:r>
    </w:p>
    <w:p>
      <w:pPr>
        <w:pStyle w:val="berschrift2"/>
        <w:numPr>
          <w:ilvl w:val="0"/>
          <w:numId w:val="1"/>
        </w:numP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</w:pPr>
      <w:bookmarkStart w:id="3" w:name="_Toc68033481"/>
      <w: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t>Obwohl der erste Nachweis Mitte Dezember in Dänemark erfolgte konnten 143 Genome aus Frankreich identifiziert werden (davon 12 aus Mayotte), das weißt auf einen Ursprung bzw. Verbreitung in/aus Frankreich hin</w:t>
      </w:r>
      <w:bookmarkEnd w:id="3"/>
      <w: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t xml:space="preserve"> </w:t>
      </w:r>
    </w:p>
    <w:p>
      <w:pPr>
        <w:pStyle w:val="berschrift2"/>
        <w:numPr>
          <w:ilvl w:val="0"/>
          <w:numId w:val="1"/>
        </w:numP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</w:pPr>
      <w:bookmarkStart w:id="4" w:name="_Toc68033482"/>
      <w:r>
        <w:rPr>
          <w:rFonts w:asciiTheme="minorHAnsi" w:eastAsiaTheme="minorHAnsi" w:hAnsiTheme="minorHAnsi" w:cstheme="minorBidi"/>
          <w:i/>
          <w:color w:val="auto"/>
          <w:sz w:val="22"/>
          <w:szCs w:val="22"/>
          <w:lang w:val="de-DE"/>
        </w:rPr>
        <w:t>[inoffiziell]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t xml:space="preserve"> Kollegen aus der nördlichen Côte d'Ivoire (Elfenbeinküste) haben im Februar die Verdrängung von zuvor dominanten Varianten (auch VOC/VUI) bei gleichzeitigem Auftreten und starker Verbreitung von A.27 festgestellt.</w:t>
      </w:r>
      <w:bookmarkEnd w:id="4"/>
      <w: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t xml:space="preserve"> </w:t>
      </w:r>
      <w:bookmarkStart w:id="5" w:name="_Toc68033483"/>
      <w: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t>Ausbreitung von A.27 im März in Côte d'Ivoire (17/52 Genome im März: 32%)</w:t>
      </w:r>
      <w:bookmarkEnd w:id="5"/>
      <w: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t xml:space="preserve"> </w:t>
      </w:r>
    </w:p>
    <w:p>
      <w:pPr>
        <w:rPr>
          <w:lang w:val="de-DE"/>
        </w:rPr>
      </w:pPr>
      <w:r>
        <w:rPr>
          <w:lang w:val="de-DE"/>
        </w:rPr>
        <w:br w:type="page"/>
      </w:r>
    </w:p>
    <w:p>
      <w:pPr>
        <w:pStyle w:val="berschrift2"/>
        <w:rPr>
          <w:lang w:val="de-DE"/>
        </w:rPr>
      </w:pPr>
      <w:bookmarkStart w:id="6" w:name="_Toc68033484"/>
      <w:bookmarkStart w:id="7" w:name="_GoBack"/>
      <w:bookmarkEnd w:id="7"/>
      <w:r>
        <w:rPr>
          <w:lang w:val="de-DE"/>
        </w:rPr>
        <w:lastRenderedPageBreak/>
        <w:t>Deutschland</w:t>
      </w:r>
      <w:bookmarkEnd w:id="6"/>
    </w:p>
    <w:p>
      <w:pPr>
        <w:rPr>
          <w:lang w:val="de-DE"/>
        </w:rPr>
      </w:pPr>
      <w:r>
        <w:rPr>
          <w:rStyle w:val="jlqj4b"/>
          <w:lang w:val="de-DE"/>
        </w:rPr>
        <w:t>Wir konnten am RKI bisher 424 A.27-Genome aus Deutschland identifizieren. Die früheste Sequenz stammt ebenfalls aus BW und erfolgte in KW1.</w:t>
      </w:r>
      <w:r>
        <w:rPr>
          <w:lang w:val="de-DE" w:eastAsia="de-DE"/>
        </w:rPr>
        <w:t xml:space="preserve"> </w:t>
      </w:r>
      <w:r>
        <w:rPr>
          <w:rStyle w:val="jlqj4b"/>
          <w:lang w:val="de-DE"/>
        </w:rPr>
        <w:t>Zunächst stieg der Anteil dieser Variante an alle Sequenzen bis KW8 (1,3%) an, ist aber seitdem zurückgegangen (0,6% in KW11).</w:t>
      </w:r>
      <w:r>
        <w:rPr>
          <w:lang w:val="de-DE"/>
        </w:rPr>
        <w:t xml:space="preserve"> </w:t>
      </w:r>
    </w:p>
    <w:p>
      <w:pPr>
        <w:rPr>
          <w:lang w:val="de-DE"/>
        </w:rPr>
      </w:pPr>
      <w:r>
        <w:rPr>
          <w:lang w:val="de-DE"/>
        </w:rPr>
        <w:t xml:space="preserve">Die Anzahl der detektierten A.27-Gesamtgenomsequenzen die entweder via desh (421) an das RKI übermittelt wurden oder im Rahmen des IMS-SC2-Lanornetzwerkes am RKI sequenziert wurden (3) ist in Abb2 dargestellt.  </w:t>
      </w:r>
    </w:p>
    <w:tbl>
      <w:tblPr>
        <w:tblW w:w="91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  <w:gridCol w:w="166"/>
      </w:tblGrid>
      <w:tr>
        <w:trPr>
          <w:trHeight w:val="30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587"/>
            </w:tblGrid>
            <w:tr>
              <w:trPr>
                <w:trHeight w:val="300"/>
              </w:trPr>
              <w:tc>
                <w:tcPr>
                  <w:tcW w:w="736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KW01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KW02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KW03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KW04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KW05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KW06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KW07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KW08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KW09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KW10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KW11</w:t>
                  </w:r>
                </w:p>
              </w:tc>
              <w:tc>
                <w:tcPr>
                  <w:tcW w:w="183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val="de-DE" w:eastAsia="de-DE"/>
                    </w:rPr>
                    <w:t>2021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736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3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2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7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29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40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53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61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93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48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58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de-DE" w:eastAsia="de-DE"/>
                    </w:rPr>
                    <w:t>30</w:t>
                  </w:r>
                </w:p>
              </w:tc>
              <w:tc>
                <w:tcPr>
                  <w:tcW w:w="183" w:type="dxa"/>
                  <w:shd w:val="clear" w:color="auto" w:fill="auto"/>
                  <w:noWrap/>
                  <w:vAlign w:val="bottom"/>
                  <w:hideMark/>
                </w:tcPr>
                <w:p>
                  <w:pPr>
                    <w:keepNext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color w:val="000000"/>
                      <w:lang w:val="de-DE" w:eastAsia="de-DE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val="de-DE" w:eastAsia="de-DE"/>
                    </w:rPr>
                    <w:t>424</w:t>
                  </w:r>
                </w:p>
              </w:tc>
            </w:tr>
          </w:tbl>
          <w:p>
            <w:pPr>
              <w:pStyle w:val="Beschriftung"/>
              <w:rPr>
                <w:lang w:val="de-DE"/>
              </w:rPr>
            </w:pPr>
            <w:r>
              <w:rPr>
                <w:lang w:val="de-DE"/>
              </w:rPr>
              <w:t xml:space="preserve">Abbildung </w:t>
            </w:r>
            <w:r>
              <w:fldChar w:fldCharType="begin"/>
            </w:r>
            <w:r>
              <w:rPr>
                <w:lang w:val="de-DE"/>
              </w:rPr>
              <w:instrText xml:space="preserve"> SEQ Abbildung \* ARABIC </w:instrText>
            </w:r>
            <w:r>
              <w:fldChar w:fldCharType="separate"/>
            </w:r>
            <w:r>
              <w:rPr>
                <w:noProof/>
                <w:lang w:val="de-DE"/>
              </w:rPr>
              <w:t>1</w:t>
            </w:r>
            <w:r>
              <w:fldChar w:fldCharType="end"/>
            </w:r>
            <w:r>
              <w:rPr>
                <w:lang w:val="de-DE"/>
              </w:rPr>
              <w:t>: Anzahl der detektierten A.27 Gesamtgenomsequenzen am RKI pro Kalenderwoche (KW)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</w:tbl>
    <w:p>
      <w:pPr>
        <w:rPr>
          <w:rStyle w:val="jlqj4b"/>
          <w:lang w:val="de-DE"/>
        </w:rPr>
      </w:pPr>
      <w:r>
        <w:rPr>
          <w:rStyle w:val="jlqj4b"/>
          <w:lang w:val="de-DE"/>
        </w:rPr>
        <w:t>Die überwiegende Mehrheit wurde von Laboren aus BW übermittelt (n = 375; 88%).</w:t>
      </w:r>
      <w:r>
        <w:rPr>
          <w:rStyle w:val="viiyi"/>
          <w:lang w:val="de-DE"/>
        </w:rPr>
        <w:t xml:space="preserve"> </w:t>
      </w:r>
      <w:r>
        <w:rPr>
          <w:lang w:val="de-DE" w:eastAsia="de-DE"/>
        </w:rPr>
        <w:t>Von den 424 zählen mind. 63 zur Stichprobe und mindesten 165 zu Verdachtsproben (Rest unbekannt)</w:t>
      </w:r>
    </w:p>
    <w:p>
      <w:pPr>
        <w:rPr>
          <w:rFonts w:ascii="Calibri" w:eastAsia="Times New Roman" w:hAnsi="Calibri" w:cs="Times New Roman"/>
          <w:color w:val="000000"/>
          <w:lang w:val="de-DE" w:eastAsia="de-DE"/>
        </w:rPr>
      </w:pPr>
      <w:r>
        <w:rPr>
          <w:rFonts w:ascii="Calibri" w:eastAsia="Times New Roman" w:hAnsi="Calibri" w:cs="Times New Roman"/>
          <w:color w:val="000000"/>
          <w:lang w:val="de-DE" w:eastAsia="de-DE"/>
        </w:rPr>
        <w:t>Zu den 424 Gesamtgenomsequenzen wurden 94 korrespondierende Fälle im Meldesystem identifiziert. Diese verteilen sich auf die folgenden Bundesländer:</w:t>
      </w:r>
    </w:p>
    <w:tbl>
      <w:tblPr>
        <w:tblW w:w="30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64"/>
      </w:tblGrid>
      <w:tr>
        <w:trPr>
          <w:trHeight w:val="30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Baden-Württemberg (BW)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87</w:t>
            </w:r>
          </w:p>
        </w:tc>
      </w:tr>
      <w:tr>
        <w:trPr>
          <w:trHeight w:val="30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Bayern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</w:t>
            </w:r>
          </w:p>
        </w:tc>
      </w:tr>
      <w:tr>
        <w:trPr>
          <w:trHeight w:val="30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Mecklenburg-Vorpommern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1</w:t>
            </w:r>
          </w:p>
        </w:tc>
      </w:tr>
      <w:tr>
        <w:trPr>
          <w:trHeight w:val="30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Nordrhein-Westfalen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2</w:t>
            </w:r>
          </w:p>
        </w:tc>
      </w:tr>
      <w:tr>
        <w:trPr>
          <w:trHeight w:val="300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Rheinland-Pfalz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3</w:t>
            </w:r>
          </w:p>
        </w:tc>
      </w:tr>
    </w:tbl>
    <w:p>
      <w:pPr>
        <w:rPr>
          <w:lang w:val="de-DE"/>
        </w:rPr>
      </w:pPr>
      <w:r>
        <w:rPr>
          <w:rFonts w:ascii="Calibri" w:eastAsia="Times New Roman" w:hAnsi="Calibri" w:cs="Times New Roman"/>
          <w:color w:val="000000"/>
          <w:lang w:val="de-DE" w:eastAsia="de-DE"/>
        </w:rPr>
        <w:br/>
        <w:t>Die Fälle wurden zwischen KW 03/2021 und KW 11/2021 gemeldet</w:t>
      </w:r>
    </w:p>
    <w:p>
      <w:r>
        <w:rPr>
          <w:noProof/>
        </w:rPr>
        <w:drawing>
          <wp:inline distT="0" distB="0" distL="0" distR="0">
            <wp:extent cx="5534025" cy="2221645"/>
            <wp:effectExtent l="0" t="0" r="9525" b="762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52E686BA-0E9C-4B12-972B-6CDFF1271D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Beschriftung"/>
        <w:rPr>
          <w:lang w:val="de-DE"/>
        </w:rPr>
      </w:pPr>
      <w:r>
        <w:rPr>
          <w:lang w:val="de-DE"/>
        </w:rPr>
        <w:t xml:space="preserve">Abbildung </w:t>
      </w:r>
      <w:r>
        <w:fldChar w:fldCharType="begin"/>
      </w:r>
      <w:r>
        <w:rPr>
          <w:lang w:val="de-DE"/>
        </w:rPr>
        <w:instrText xml:space="preserve"> SEQ Abbildung \* ARABIC </w:instrText>
      </w:r>
      <w:r>
        <w:fldChar w:fldCharType="separate"/>
      </w:r>
      <w:r>
        <w:rPr>
          <w:noProof/>
          <w:lang w:val="de-DE"/>
        </w:rPr>
        <w:t>2</w:t>
      </w:r>
      <w:r>
        <w:fldChar w:fldCharType="end"/>
      </w:r>
      <w:r>
        <w:rPr>
          <w:lang w:val="de-DE"/>
        </w:rPr>
        <w:t xml:space="preserve">: </w:t>
      </w:r>
      <w:proofErr w:type="spellStart"/>
      <w:r>
        <w:rPr>
          <w:lang w:val="de-DE"/>
        </w:rPr>
        <w:t>Epicurve</w:t>
      </w:r>
      <w:proofErr w:type="spellEnd"/>
      <w:r>
        <w:rPr>
          <w:lang w:val="de-DE"/>
        </w:rPr>
        <w:t xml:space="preserve"> der identifizierten Meldefälle zur Variante A.27 (n=94).</w:t>
      </w:r>
    </w:p>
    <w:p>
      <w:pPr>
        <w:rPr>
          <w:rFonts w:ascii="Calibri" w:eastAsia="Times New Roman" w:hAnsi="Calibri" w:cs="Times New Roman"/>
          <w:color w:val="000000"/>
          <w:lang w:val="de-DE" w:eastAsia="de-DE"/>
        </w:rPr>
      </w:pPr>
      <w:r>
        <w:rPr>
          <w:lang w:val="de-DE"/>
        </w:rPr>
        <w:t xml:space="preserve">Hauptverbreitungsgebiet in BW ist der LK Rhein-Neckar-Kreis mit 31 Fällen, sowie </w:t>
      </w:r>
      <w:r>
        <w:rPr>
          <w:rFonts w:ascii="Calibri" w:eastAsia="Times New Roman" w:hAnsi="Calibri" w:cs="Times New Roman"/>
          <w:color w:val="000000"/>
          <w:lang w:val="de-DE" w:eastAsia="de-DE"/>
        </w:rPr>
        <w:t>LK Neckar-Odenwald-Kreis, und LK Karlsruhe mit je 11 Fällen, danach folgen SK Heidelberg (n=10) und LK Rems-Murr-Kreis (n=9). Die örtliche Nähe lässt auf ein regionales Geschehen schließen.</w:t>
      </w:r>
    </w:p>
    <w:p>
      <w:pPr>
        <w:rPr>
          <w:rFonts w:ascii="Calibri" w:eastAsia="Times New Roman" w:hAnsi="Calibri" w:cs="Times New Roman"/>
          <w:color w:val="000000"/>
          <w:lang w:val="de-DE" w:eastAsia="de-DE"/>
        </w:rPr>
      </w:pPr>
      <w:r>
        <w:rPr>
          <w:rFonts w:ascii="Calibri" w:eastAsia="Times New Roman" w:hAnsi="Calibri" w:cs="Times New Roman"/>
          <w:color w:val="000000"/>
          <w:lang w:val="de-DE" w:eastAsia="de-DE"/>
        </w:rPr>
        <w:t>Für 3 Fälle wurde eine Hospitalisierung angegeben, eine Person im LK Rhein-Neckar-Kreis verstarb.</w:t>
      </w:r>
    </w:p>
    <w:p>
      <w:pPr>
        <w:keepNext/>
      </w:pPr>
      <w:r>
        <w:rPr>
          <w:noProof/>
        </w:rPr>
        <w:lastRenderedPageBreak/>
        <w:drawing>
          <wp:inline distT="0" distB="0" distL="0" distR="0">
            <wp:extent cx="4456512" cy="2195938"/>
            <wp:effectExtent l="0" t="0" r="1270" b="13970"/>
            <wp:docPr id="14" name="Diagramm 14">
              <a:extLst xmlns:a="http://schemas.openxmlformats.org/drawingml/2006/main">
                <a:ext uri="{FF2B5EF4-FFF2-40B4-BE49-F238E27FC236}">
                  <a16:creationId xmlns:a16="http://schemas.microsoft.com/office/drawing/2014/main" id="{2844A8C0-D1E8-4479-B9E1-F099FB236D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Beschriftung"/>
        <w:rPr>
          <w:lang w:val="de-DE"/>
        </w:rPr>
      </w:pPr>
      <w:r>
        <w:rPr>
          <w:lang w:val="de-DE"/>
        </w:rPr>
        <w:t xml:space="preserve">Abbildung </w:t>
      </w:r>
      <w:r>
        <w:fldChar w:fldCharType="begin"/>
      </w:r>
      <w:r>
        <w:rPr>
          <w:lang w:val="de-DE"/>
        </w:rPr>
        <w:instrText xml:space="preserve"> SEQ Abbildung \* ARABIC </w:instrText>
      </w:r>
      <w:r>
        <w:fldChar w:fldCharType="separate"/>
      </w:r>
      <w:r>
        <w:rPr>
          <w:noProof/>
          <w:lang w:val="de-DE"/>
        </w:rPr>
        <w:t>3</w:t>
      </w:r>
      <w:r>
        <w:fldChar w:fldCharType="end"/>
      </w:r>
      <w:r>
        <w:rPr>
          <w:lang w:val="de-DE"/>
        </w:rPr>
        <w:t>: Altersverteilung der gemeldeten Fälle (n=94).</w:t>
      </w:r>
    </w:p>
    <w:p>
      <w:pPr>
        <w:pStyle w:val="berschrift1"/>
      </w:pPr>
      <w:bookmarkStart w:id="8" w:name="_Toc68033477"/>
      <w:r>
        <w:t>A.27-Variantenprofil</w:t>
      </w:r>
      <w:bookmarkEnd w:id="8"/>
    </w:p>
    <w:p>
      <w:r>
        <w:t xml:space="preserve">PANGO lineages profile: </w:t>
      </w:r>
      <w:hyperlink r:id="rId7" w:history="1">
        <w:r>
          <w:rPr>
            <w:rStyle w:val="Hyperlink"/>
          </w:rPr>
          <w:t>https://cov-lineages.org/lineages.html</w:t>
        </w:r>
      </w:hyperlink>
      <w: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726"/>
        <w:gridCol w:w="860"/>
        <w:gridCol w:w="1191"/>
        <w:gridCol w:w="991"/>
        <w:gridCol w:w="3426"/>
      </w:tblGrid>
      <w:tr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Lineage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Most common countries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Earliest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designated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assigned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Description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de-DE"/>
                </w:rPr>
                <w:t>A.27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France 58.0%, Slovenia 11.0%, Mayotte 6.0%, United Kingdom 4.0%, Germany 3.0%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2020-12-14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Mayotte/ European cluster with 18 changes in the long branch leading to this cluster, including 7 NS changes in the spike (L18F, L452R, N501Y, A653V, H655Y, D796Y, G1219V), on a 614D background.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pango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-designation issue #11.</w:t>
            </w:r>
          </w:p>
        </w:tc>
      </w:tr>
    </w:tbl>
    <w:p>
      <w:pPr>
        <w:pStyle w:val="Beschriftung"/>
        <w:rPr>
          <w:lang w:val="de-DE"/>
        </w:rPr>
      </w:pPr>
      <w:r>
        <w:rPr>
          <w:lang w:val="de-DE"/>
        </w:rPr>
        <w:t xml:space="preserve">Abbildung </w:t>
      </w:r>
      <w:r>
        <w:fldChar w:fldCharType="begin"/>
      </w:r>
      <w:r>
        <w:rPr>
          <w:lang w:val="de-DE"/>
        </w:rPr>
        <w:instrText xml:space="preserve"> SEQ Abbildung \* ARABIC </w:instrText>
      </w:r>
      <w:r>
        <w:fldChar w:fldCharType="separate"/>
      </w:r>
      <w:r>
        <w:rPr>
          <w:noProof/>
          <w:lang w:val="de-DE"/>
        </w:rPr>
        <w:t>4</w:t>
      </w:r>
      <w:r>
        <w:fldChar w:fldCharType="end"/>
      </w:r>
      <w:r>
        <w:rPr>
          <w:lang w:val="de-DE"/>
        </w:rPr>
        <w:t xml:space="preserve">: Lineage Beschreibung von PANGO </w:t>
      </w:r>
      <w:proofErr w:type="spellStart"/>
      <w:r>
        <w:rPr>
          <w:lang w:val="de-DE"/>
        </w:rPr>
        <w:t>lineages</w:t>
      </w:r>
      <w:proofErr w:type="spellEnd"/>
      <w:r>
        <w:rPr>
          <w:lang w:val="de-DE"/>
        </w:rPr>
        <w:t xml:space="preserve"> auf </w:t>
      </w:r>
      <w:hyperlink r:id="rId9" w:history="1">
        <w:r>
          <w:rPr>
            <w:rStyle w:val="Hyperlink"/>
            <w:lang w:val="de-DE"/>
          </w:rPr>
          <w:t>https://cov-lineages.org</w:t>
        </w:r>
      </w:hyperlink>
      <w:r>
        <w:rPr>
          <w:lang w:val="de-DE"/>
        </w:rPr>
        <w:t xml:space="preserve"> </w:t>
      </w:r>
    </w:p>
    <w:p>
      <w:pPr>
        <w:pStyle w:val="NurText"/>
        <w:numPr>
          <w:ilvl w:val="0"/>
          <w:numId w:val="1"/>
        </w:numPr>
      </w:pPr>
      <w:r>
        <w:t>Die Variante zeichnet sich durch eine hohe Zahl von spezifischen (</w:t>
      </w:r>
      <w:proofErr w:type="spellStart"/>
      <w:r>
        <w:t>lineage</w:t>
      </w:r>
      <w:proofErr w:type="spellEnd"/>
      <w:r>
        <w:t xml:space="preserve"> </w:t>
      </w:r>
      <w:proofErr w:type="spellStart"/>
      <w:r>
        <w:t>defining</w:t>
      </w:r>
      <w:proofErr w:type="spellEnd"/>
      <w:r>
        <w:t xml:space="preserve">) Mutationen aus die von anderen VOC/VOI bekannt sind. </w:t>
      </w:r>
    </w:p>
    <w:p>
      <w:pPr>
        <w:pStyle w:val="NurText"/>
        <w:numPr>
          <w:ilvl w:val="0"/>
          <w:numId w:val="1"/>
        </w:numPr>
      </w:pPr>
      <w:r>
        <w:t>Insgesamt hat A.27 18 definierende Mutationen, davon 7 Aminosäure-Substitutionen im Spike Protein (L18F, L452R, N501Y, A653V, H655Y, D796Y, G1219V)</w:t>
      </w:r>
      <w:r>
        <w:br/>
      </w:r>
      <w:r>
        <w:rPr>
          <w:lang w:val="en-US"/>
        </w:rPr>
        <w:sym w:font="Wingdings" w:char="F0E0"/>
      </w:r>
      <w:r>
        <w:t xml:space="preserve"> einige dieser Mutationen sind mit erhöhter Übertragbarkeit des Virus und/oder Immun-Escape assoziiert.</w:t>
      </w:r>
    </w:p>
    <w:p>
      <w:pPr>
        <w:rPr>
          <w:lang w:val="de-DE" w:eastAsia="de-DE"/>
        </w:rPr>
      </w:pPr>
    </w:p>
    <w:p>
      <w:pPr>
        <w:rPr>
          <w:lang w:val="de-DE" w:eastAsia="de-DE"/>
        </w:rPr>
      </w:pPr>
    </w:p>
    <w:p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de-DE"/>
        </w:rPr>
      </w:pPr>
      <w:bookmarkStart w:id="9" w:name="_Toc68033485"/>
      <w:r>
        <w:rPr>
          <w:lang w:val="de-DE"/>
        </w:rPr>
        <w:br w:type="page"/>
      </w:r>
    </w:p>
    <w:p>
      <w:pPr>
        <w:pStyle w:val="berschrift1"/>
        <w:rPr>
          <w:lang w:val="de-DE"/>
        </w:rPr>
      </w:pPr>
      <w:r>
        <w:rPr>
          <w:lang w:val="de-DE"/>
        </w:rPr>
        <w:lastRenderedPageBreak/>
        <w:t xml:space="preserve">Virologische </w:t>
      </w:r>
      <w:bookmarkEnd w:id="9"/>
      <w:r>
        <w:rPr>
          <w:lang w:val="de-DE"/>
        </w:rPr>
        <w:t>Informationen</w:t>
      </w:r>
    </w:p>
    <w:p>
      <w:pPr>
        <w:pStyle w:val="NurText"/>
      </w:pPr>
      <w:r>
        <w:t xml:space="preserve">Abb. 5 zeigt ein dreidimensionales Modell </w:t>
      </w:r>
      <w:proofErr w:type="gramStart"/>
      <w:r>
        <w:t>des Spike</w:t>
      </w:r>
      <w:proofErr w:type="gramEnd"/>
      <w:r>
        <w:t xml:space="preserve"> (S)-Proteins der SARS-CoV-2 Linie A.27 mit den Linien-typischen Aminosäure-Polymorphismen als Komplex mit dem zellulären ACE2 Rezeptorprotein. Die Struktur zeigt die veränderten Aminosäure-Mutationen in (i) der Rezeptorbindungsdomäne N501Y (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>) und L452R (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antibody</w:t>
      </w:r>
      <w:proofErr w:type="spellEnd"/>
      <w:r>
        <w:t xml:space="preserve"> </w:t>
      </w:r>
      <w:proofErr w:type="spellStart"/>
      <w:r>
        <w:t>neutralization</w:t>
      </w:r>
      <w:proofErr w:type="spellEnd"/>
      <w:r>
        <w:t xml:space="preserve">), sowie A653V/H655Y (in der Nähe der S1/S2 </w:t>
      </w:r>
      <w:proofErr w:type="spellStart"/>
      <w:r>
        <w:t>Furin</w:t>
      </w:r>
      <w:proofErr w:type="spellEnd"/>
      <w:r>
        <w:t>-Spaltstelle an den Positionen 681, sowie D795Y in der Nähe der essentiellen TMPRSS2-Spaltstelle an Position 815.</w:t>
      </w:r>
    </w:p>
    <w:p>
      <w:pPr>
        <w:pStyle w:val="NurText"/>
      </w:pPr>
    </w:p>
    <w:p>
      <w:pPr>
        <w:pStyle w:val="NurText"/>
      </w:pPr>
    </w:p>
    <w:p>
      <w:pPr>
        <w:pStyle w:val="NurText"/>
        <w:keepNext/>
      </w:pPr>
      <w:r>
        <w:rPr>
          <w:noProof/>
        </w:rPr>
        <w:drawing>
          <wp:inline distT="0" distB="0" distL="0" distR="0">
            <wp:extent cx="5543550" cy="5769502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56" cy="578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eschriftung"/>
        <w:rPr>
          <w:sz w:val="22"/>
          <w:lang w:val="de-DE"/>
        </w:rPr>
      </w:pPr>
      <w:proofErr w:type="spellStart"/>
      <w:r>
        <w:rPr>
          <w:sz w:val="22"/>
        </w:rPr>
        <w:t>Abbildung</w:t>
      </w:r>
      <w:proofErr w:type="spellEnd"/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SEQ Abbildung \* ARABIC </w:instrText>
      </w:r>
      <w:r>
        <w:rPr>
          <w:sz w:val="22"/>
        </w:rPr>
        <w:fldChar w:fldCharType="separate"/>
      </w:r>
      <w:r>
        <w:rPr>
          <w:noProof/>
          <w:sz w:val="22"/>
        </w:rPr>
        <w:t>5</w:t>
      </w:r>
      <w:r>
        <w:rPr>
          <w:sz w:val="22"/>
        </w:rPr>
        <w:fldChar w:fldCharType="end"/>
      </w:r>
      <w:r>
        <w:rPr>
          <w:sz w:val="22"/>
        </w:rPr>
        <w:t>: The trimeric Spike protein of SARS-CoV-2 (PDB: 7kj2, Xiao et al., (2021) Nat Struct Mol Biol 28: 202-209) is depicted in complex with its cellular receptor ACE-2. The variant residues of lineage A.27 are labeled on one subunit with the A.27 amino acids indicated in parentheses. RBD, receptor binding domain.</w:t>
      </w:r>
    </w:p>
    <w:p>
      <w:pPr>
        <w:rPr>
          <w:lang w:val="de-DE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C2A"/>
    <w:multiLevelType w:val="hybridMultilevel"/>
    <w:tmpl w:val="77126EA0"/>
    <w:lvl w:ilvl="0" w:tplc="5D1EA9EC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C65B-F623-484C-81B0-384479F9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  <w:lang w:val="en-US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viiyi">
    <w:name w:val="viiyi"/>
    <w:basedOn w:val="Absatz-Standardschriftart"/>
  </w:style>
  <w:style w:type="character" w:customStyle="1" w:styleId="jlqj4b">
    <w:name w:val="jlqj4b"/>
    <w:basedOn w:val="Absatz-Standardschriftart"/>
  </w:style>
  <w:style w:type="paragraph" w:styleId="KeinLeerraum">
    <w:name w:val="No Spacing"/>
    <w:uiPriority w:val="1"/>
    <w:qFormat/>
    <w:pPr>
      <w:spacing w:after="0" w:line="240" w:lineRule="auto"/>
    </w:pPr>
    <w:rPr>
      <w:lang w:val="en-US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spacing w:line="259" w:lineRule="auto"/>
      <w:outlineLvl w:val="9"/>
    </w:pPr>
    <w:rPr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-lineages.org/lineages/lineage_A.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-lineages.org/lineag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cov-lineages.or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rki.local\users\kroegers\Daten\SurvNet\COVID-19\DEMIS\2021-03-27_A27_analysis\A27_SurvNet-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rki.local\users\kroegers\Daten\SurvNet\COVID-19\DEMIS\2021-03-27_A27_analysis\A27_SurvNet-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[A27_SurvNet-Data.xlsx]Tabelle2!PivotTable1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a.27 </a:t>
            </a:r>
            <a:r>
              <a:rPr lang="de-DE" baseline="0"/>
              <a:t> </a:t>
            </a:r>
            <a:endParaRPr lang="de-D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ivotFmts>
      <c:pivotFmt>
        <c:idx val="0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circle"/>
          <c:size val="6"/>
          <c:spPr>
            <a:solidFill>
              <a:schemeClr val="accent1"/>
            </a:solidFill>
            <a:ln>
              <a:noFill/>
            </a:ln>
            <a:effectLst/>
          </c:spPr>
        </c:marker>
      </c:pivotFmt>
      <c:pivotFmt>
        <c:idx val="1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circle"/>
          <c:size val="6"/>
          <c:spPr>
            <a:solidFill>
              <a:schemeClr val="accent2"/>
            </a:solidFill>
            <a:ln>
              <a:noFill/>
            </a:ln>
            <a:effectLst/>
          </c:spPr>
        </c:marker>
      </c:pivotFmt>
      <c:pivotFmt>
        <c:idx val="2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circle"/>
          <c:size val="6"/>
          <c:spPr>
            <a:solidFill>
              <a:schemeClr val="accent3"/>
            </a:solidFill>
            <a:ln>
              <a:noFill/>
            </a:ln>
            <a:effectLst/>
          </c:spPr>
        </c:marker>
      </c:pivotFmt>
      <c:pivotFmt>
        <c:idx val="3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circle"/>
          <c:size val="6"/>
          <c:spPr>
            <a:solidFill>
              <a:schemeClr val="accent4"/>
            </a:solidFill>
            <a:ln>
              <a:noFill/>
            </a:ln>
            <a:effectLst/>
          </c:spPr>
        </c:marker>
      </c:pivotFmt>
      <c:pivotFmt>
        <c:idx val="4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circle"/>
          <c:size val="6"/>
          <c:spPr>
            <a:solidFill>
              <a:schemeClr val="accent5"/>
            </a:solidFill>
            <a:ln>
              <a:noFill/>
            </a:ln>
            <a:effectLst/>
          </c:spPr>
        </c:marker>
      </c:pivotFmt>
      <c:pivotFmt>
        <c:idx val="5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circle"/>
          <c:size val="6"/>
          <c:spPr>
            <a:solidFill>
              <a:schemeClr val="accent6"/>
            </a:solidFill>
            <a:ln>
              <a:noFill/>
            </a:ln>
            <a:effectLst/>
          </c:spPr>
        </c:marker>
      </c:pivotFmt>
      <c:pivotFmt>
        <c:idx val="6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7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8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9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10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11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12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13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14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15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16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  <c:pivotFmt>
        <c:idx val="17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Tabelle2!$B$3:$B$4</c:f>
              <c:strCache>
                <c:ptCount val="1"/>
                <c:pt idx="0">
                  <c:v>Baden-Württemberg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Tabelle2!$A$5:$A$12</c:f>
              <c:strCache>
                <c:ptCount val="7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(Leer)</c:v>
                </c:pt>
              </c:strCache>
            </c:strRef>
          </c:cat>
          <c:val>
            <c:numRef>
              <c:f>Tabelle2!$B$5:$B$12</c:f>
              <c:numCache>
                <c:formatCode>General</c:formatCode>
                <c:ptCount val="7"/>
                <c:pt idx="1">
                  <c:v>16</c:v>
                </c:pt>
                <c:pt idx="2">
                  <c:v>21</c:v>
                </c:pt>
                <c:pt idx="3">
                  <c:v>20</c:v>
                </c:pt>
                <c:pt idx="4">
                  <c:v>15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E3-47B7-B858-A148E94632FF}"/>
            </c:ext>
          </c:extLst>
        </c:ser>
        <c:ser>
          <c:idx val="1"/>
          <c:order val="1"/>
          <c:tx>
            <c:strRef>
              <c:f>Tabelle2!$C$3:$C$4</c:f>
              <c:strCache>
                <c:ptCount val="1"/>
                <c:pt idx="0">
                  <c:v>Bayern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Tabelle2!$A$5:$A$12</c:f>
              <c:strCache>
                <c:ptCount val="7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(Leer)</c:v>
                </c:pt>
              </c:strCache>
            </c:strRef>
          </c:cat>
          <c:val>
            <c:numRef>
              <c:f>Tabelle2!$C$5:$C$12</c:f>
              <c:numCache>
                <c:formatCode>General</c:formatCode>
                <c:ptCount val="7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E3-47B7-B858-A148E94632FF}"/>
            </c:ext>
          </c:extLst>
        </c:ser>
        <c:ser>
          <c:idx val="2"/>
          <c:order val="2"/>
          <c:tx>
            <c:strRef>
              <c:f>Tabelle2!$D$3:$D$4</c:f>
              <c:strCache>
                <c:ptCount val="1"/>
                <c:pt idx="0">
                  <c:v>Mecklenburg-Vorpommern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Tabelle2!$A$5:$A$12</c:f>
              <c:strCache>
                <c:ptCount val="7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(Leer)</c:v>
                </c:pt>
              </c:strCache>
            </c:strRef>
          </c:cat>
          <c:val>
            <c:numRef>
              <c:f>Tabelle2!$D$5:$D$12</c:f>
              <c:numCache>
                <c:formatCode>General</c:formatCode>
                <c:ptCount val="7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E3-47B7-B858-A148E94632FF}"/>
            </c:ext>
          </c:extLst>
        </c:ser>
        <c:ser>
          <c:idx val="3"/>
          <c:order val="3"/>
          <c:tx>
            <c:strRef>
              <c:f>Tabelle2!$E$3:$E$4</c:f>
              <c:strCache>
                <c:ptCount val="1"/>
                <c:pt idx="0">
                  <c:v>Nordrhein-Westfalen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Tabelle2!$A$5:$A$12</c:f>
              <c:strCache>
                <c:ptCount val="7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(Leer)</c:v>
                </c:pt>
              </c:strCache>
            </c:strRef>
          </c:cat>
          <c:val>
            <c:numRef>
              <c:f>Tabelle2!$E$5:$E$12</c:f>
              <c:numCache>
                <c:formatCode>General</c:formatCode>
                <c:ptCount val="7"/>
                <c:pt idx="0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E3-47B7-B858-A148E94632FF}"/>
            </c:ext>
          </c:extLst>
        </c:ser>
        <c:ser>
          <c:idx val="4"/>
          <c:order val="4"/>
          <c:tx>
            <c:strRef>
              <c:f>Tabelle2!$F$3:$F$4</c:f>
              <c:strCache>
                <c:ptCount val="1"/>
                <c:pt idx="0">
                  <c:v>Rheinland-Pfalz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Tabelle2!$A$5:$A$12</c:f>
              <c:strCache>
                <c:ptCount val="7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(Leer)</c:v>
                </c:pt>
              </c:strCache>
            </c:strRef>
          </c:cat>
          <c:val>
            <c:numRef>
              <c:f>Tabelle2!$F$5:$F$12</c:f>
              <c:numCache>
                <c:formatCode>General</c:formatCode>
                <c:ptCount val="7"/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E3-47B7-B858-A148E94632FF}"/>
            </c:ext>
          </c:extLst>
        </c:ser>
        <c:ser>
          <c:idx val="5"/>
          <c:order val="5"/>
          <c:tx>
            <c:strRef>
              <c:f>Tabelle2!$G$3:$G$4</c:f>
              <c:strCache>
                <c:ptCount val="1"/>
                <c:pt idx="0">
                  <c:v>(Leer)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Tabelle2!$A$5:$A$12</c:f>
              <c:strCache>
                <c:ptCount val="7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(Leer)</c:v>
                </c:pt>
              </c:strCache>
            </c:strRef>
          </c:cat>
          <c:val>
            <c:numRef>
              <c:f>Tabelle2!$G$5:$G$12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5-5DE3-47B7-B858-A148E94632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652703120"/>
        <c:axId val="652703776"/>
      </c:barChart>
      <c:catAx>
        <c:axId val="652703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Meldewoche in 2021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652703776"/>
        <c:crosses val="autoZero"/>
        <c:auto val="1"/>
        <c:lblAlgn val="ctr"/>
        <c:lblOffset val="100"/>
        <c:noMultiLvlLbl val="0"/>
      </c:catAx>
      <c:valAx>
        <c:axId val="65270377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Anzahl der Fälle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65270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[A27_SurvNet-Data.xlsx]Tabelle1!PivotTable7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A.27: AltersGruppen (mean=47)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ivotFmts>
      <c:pivotFmt>
        <c:idx val="0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circle"/>
          <c:size val="6"/>
          <c:spPr>
            <a:solidFill>
              <a:schemeClr val="accent1"/>
            </a:solidFill>
            <a:ln>
              <a:noFill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Tabelle1!$B$11</c:f>
              <c:strCache>
                <c:ptCount val="1"/>
                <c:pt idx="0">
                  <c:v>Ergebnis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Tabelle1!$A$12:$A$18</c:f>
              <c:strCache>
                <c:ptCount val="6"/>
                <c:pt idx="0">
                  <c:v>0 - 4</c:v>
                </c:pt>
                <c:pt idx="1">
                  <c:v>15 - 34</c:v>
                </c:pt>
                <c:pt idx="2">
                  <c:v>35 - 59</c:v>
                </c:pt>
                <c:pt idx="3">
                  <c:v>5 - 14</c:v>
                </c:pt>
                <c:pt idx="4">
                  <c:v>60 - 79</c:v>
                </c:pt>
                <c:pt idx="5">
                  <c:v>80+</c:v>
                </c:pt>
              </c:strCache>
            </c:strRef>
          </c:cat>
          <c:val>
            <c:numRef>
              <c:f>Tabelle1!$B$12:$B$18</c:f>
              <c:numCache>
                <c:formatCode>General</c:formatCode>
                <c:ptCount val="6"/>
                <c:pt idx="0">
                  <c:v>1</c:v>
                </c:pt>
                <c:pt idx="1">
                  <c:v>16</c:v>
                </c:pt>
                <c:pt idx="2">
                  <c:v>53</c:v>
                </c:pt>
                <c:pt idx="3">
                  <c:v>4</c:v>
                </c:pt>
                <c:pt idx="4">
                  <c:v>15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03-41DF-9921-DF4EB63251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652625776"/>
        <c:axId val="652624136"/>
      </c:barChart>
      <c:catAx>
        <c:axId val="65262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652624136"/>
        <c:crosses val="autoZero"/>
        <c:auto val="1"/>
        <c:lblAlgn val="ctr"/>
        <c:lblOffset val="100"/>
        <c:noMultiLvlLbl val="0"/>
      </c:catAx>
      <c:valAx>
        <c:axId val="652624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65262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Kröger, Stefan</dc:creator>
  <cp:keywords/>
  <dc:description/>
  <cp:lastModifiedBy>an der Heiden, Maria</cp:lastModifiedBy>
  <cp:revision>5</cp:revision>
  <cp:lastPrinted>2021-03-31T12:06:00Z</cp:lastPrinted>
  <dcterms:created xsi:type="dcterms:W3CDTF">2021-03-31T11:18:00Z</dcterms:created>
  <dcterms:modified xsi:type="dcterms:W3CDTF">2021-03-31T12:06:00Z</dcterms:modified>
</cp:coreProperties>
</file>