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09.04.2021: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8DB3E2" w:themeColor="text2" w:themeTint="66"/>
                <w:sz w:val="22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8DB3E2" w:themeColor="text2" w:themeTint="66"/>
                <w:sz w:val="22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Darstellung </w:t>
            </w:r>
            <w:proofErr w:type="gramStart"/>
            <w:r>
              <w:t>und  der</w:t>
            </w:r>
            <w:proofErr w:type="gramEnd"/>
            <w:r>
              <w:t xml:space="preserve"> 7-Tagesinzidenz im Lagebericht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</w:t>
            </w:r>
          </w:p>
          <w:p>
            <w:r>
              <w:t>FG32/38/M.</w:t>
            </w:r>
          </w:p>
          <w:p>
            <w:proofErr w:type="spellStart"/>
            <w:r>
              <w:t>anderHeiden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Frage aus BMG-Erlass: Ist eine Studie mit Bundeslandvergleich zur Bewertung einzelner Pandemiemaßnahmen sinnvoll?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RKI-Lagebericht: Formulierung Ausbrüche im privaten Haushalt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Testkriterien für die SARS-CoV-2 Diagnostik bei symptomatischen Patienten mit Verdacht auf COVID-19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Kontaktpersonenmanagement (Fragen bez. Schutzdauer von asymptomatisch Infizierten und Definition "immungesund")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Vorschlag eines Disclaimers für das Dokument Präventionsmaßnahmen in Schulen (12/10/20)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>
            <w:r>
              <w:t>FG36 Haas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12.04.2021,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9.4.2021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9</cp:revision>
  <cp:lastPrinted>2020-03-13T12:00:00Z</cp:lastPrinted>
  <dcterms:created xsi:type="dcterms:W3CDTF">2021-04-07T11:38:00Z</dcterms:created>
  <dcterms:modified xsi:type="dcterms:W3CDTF">2022-12-22T13:16:00Z</dcterms:modified>
</cp:coreProperties>
</file>