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2"/>
      </w:pPr>
      <w:r>
        <w:t>Allgemeine aktuelle Einordnung</w:t>
      </w:r>
      <w:r>
        <w:t xml:space="preserve"> (20.04.2021)</w:t>
      </w:r>
      <w:bookmarkStart w:id="0" w:name="_GoBack"/>
      <w:bookmarkEnd w:id="0"/>
    </w:p>
    <w:p>
      <w:pPr>
        <w:rPr>
          <w:rFonts w:eastAsia="MS Mincho" w:cs="Arial"/>
          <w:lang w:eastAsia="en-US"/>
        </w:rPr>
      </w:pPr>
      <w:r>
        <w:rPr>
          <w:rFonts w:eastAsia="MS Mincho" w:cs="Arial"/>
          <w:lang w:eastAsia="en-US"/>
        </w:rPr>
        <w:t xml:space="preserve">Die 7-Tages-Inzidenz für ganz Deutschland steigt seit Mitte Februar 2021 stark an und liegt deutlich über 100/100.000 Einwohner. Das Geschehen ist nicht regional begrenzt, die Anzahl der Landkreise mit einer 7-Tages-Inzidenz über 100/100.000 Einwohner nimmt seit Mitte Februar 2021 deutlich zu. </w:t>
      </w:r>
      <w:r>
        <w:rPr>
          <w:rFonts w:cs="Calibri"/>
        </w:rPr>
        <w:t>Der 7-Tage-R-Wert liegt</w:t>
      </w:r>
      <w:r>
        <w:rPr>
          <w:szCs w:val="22"/>
        </w:rPr>
        <w:t xml:space="preserve"> um 1</w:t>
      </w:r>
      <w:r>
        <w:rPr>
          <w:rFonts w:eastAsia="MS Mincho" w:cs="Arial"/>
          <w:szCs w:val="22"/>
          <w:lang w:eastAsia="en-US"/>
        </w:rPr>
        <w:t xml:space="preserve">. </w:t>
      </w:r>
      <w:r>
        <w:rPr>
          <w:rFonts w:eastAsia="MS Mincho" w:cs="Arial"/>
          <w:lang w:eastAsia="en-US"/>
        </w:rPr>
        <w:t xml:space="preserve">Etwa seit Mitte März hat sich der Anstieg der Fallzahlen beschleunigt. Nach einem vorübergehenden Rückgang der Fallzahlen über die Osterfeiertage </w:t>
      </w:r>
      <w:r>
        <w:rPr>
          <w:szCs w:val="22"/>
        </w:rPr>
        <w:t>hat</w:t>
      </w:r>
      <w:r>
        <w:rPr>
          <w:rFonts w:eastAsia="MS Mincho" w:cs="Arial"/>
          <w:lang w:eastAsia="en-US"/>
        </w:rPr>
        <w:t xml:space="preserve"> sich der starke Anstieg der Fallzahlen </w:t>
      </w:r>
      <w:r>
        <w:rPr>
          <w:szCs w:val="22"/>
        </w:rPr>
        <w:t>zunächst fortgesetzt</w:t>
      </w:r>
      <w:r>
        <w:rPr>
          <w:rFonts w:eastAsia="MS Mincho" w:cs="Arial"/>
          <w:lang w:eastAsia="en-US"/>
        </w:rPr>
        <w:t xml:space="preserve">. </w:t>
      </w:r>
      <w:r>
        <w:rPr>
          <w:rFonts w:eastAsia="Times New Roman" w:cs="Calibri"/>
          <w:szCs w:val="24"/>
        </w:rPr>
        <w:t xml:space="preserve">Bei der Analyse der Fallzahlen nach Meldewochen ist </w:t>
      </w:r>
      <w:r>
        <w:rPr>
          <w:szCs w:val="22"/>
        </w:rPr>
        <w:t xml:space="preserve">kein deutlicher Rückgang </w:t>
      </w:r>
      <w:r>
        <w:rPr>
          <w:rFonts w:eastAsia="Times New Roman" w:cs="Calibri"/>
          <w:szCs w:val="24"/>
        </w:rPr>
        <w:t xml:space="preserve">der Fallzahlen und der 7-Tage-Inzidenz </w:t>
      </w:r>
      <w:r>
        <w:rPr>
          <w:szCs w:val="22"/>
        </w:rPr>
        <w:t>in den vergangenen 4 Wochen festzustellen</w:t>
      </w:r>
      <w:r>
        <w:rPr>
          <w:rFonts w:eastAsia="Times New Roman" w:cs="Calibri"/>
          <w:szCs w:val="24"/>
        </w:rPr>
        <w:t xml:space="preserve">. Bisher kann anhand der 7-Tage-Inzidenz der letzten Tage </w:t>
      </w:r>
      <w:r>
        <w:rPr>
          <w:szCs w:val="22"/>
        </w:rPr>
        <w:t xml:space="preserve">(s. Abbildung 3), </w:t>
      </w:r>
      <w:r>
        <w:rPr>
          <w:rFonts w:eastAsia="MS Mincho" w:cs="Arial"/>
          <w:lang w:eastAsia="en-US"/>
        </w:rPr>
        <w:t>jedoch noch nicht</w:t>
      </w:r>
      <w:r>
        <w:rPr>
          <w:szCs w:val="22"/>
        </w:rPr>
        <w:t xml:space="preserve"> sicher </w:t>
      </w:r>
      <w:r>
        <w:rPr>
          <w:rFonts w:eastAsia="MS Mincho" w:cs="Arial"/>
          <w:lang w:eastAsia="en-US"/>
        </w:rPr>
        <w:t xml:space="preserve">abgeschätzt werden, wie sich dieser Trend fortsetzt. </w:t>
      </w:r>
    </w:p>
    <w:p>
      <w:pPr>
        <w:rPr>
          <w:rFonts w:eastAsia="MS Mincho" w:cs="Arial"/>
          <w:lang w:eastAsia="en-US"/>
        </w:rPr>
      </w:pPr>
      <w:r>
        <w:rPr>
          <w:rFonts w:eastAsia="MS Mincho" w:cs="Arial"/>
          <w:szCs w:val="22"/>
          <w:lang w:eastAsia="en-US"/>
        </w:rPr>
        <w:t>Die COVID-19-Fallzahlen stieg</w:t>
      </w:r>
      <w:r>
        <w:rPr>
          <w:rFonts w:eastAsia="MS Mincho" w:cs="Arial"/>
          <w:lang w:eastAsia="en-US"/>
        </w:rPr>
        <w:t>en in den letzten Wochen in allen Altersgruppen wieder an, besonders stark jedoch in jüngeren Altersgruppen. Auch bei den über 80-Jährigen hat sich der wochenlang abnehmende Trend nicht fortgesetzt. Beim Großteil der Fälle ist der Infektionsort nicht bekannt.</w:t>
      </w:r>
      <w:r>
        <w:rPr>
          <w:rFonts w:eastAsia="MS Mincho" w:cs="Arial"/>
          <w:szCs w:val="17"/>
        </w:rPr>
        <w:t xml:space="preserve"> COVID-19-bedingte Ausbrüche betreffen momentan insbesondere private Haushalte, zunehmend auch Kitas, Schulen und das berufliche Umfeld, </w:t>
      </w:r>
      <w:r>
        <w:rPr>
          <w:rFonts w:eastAsia="MS Mincho" w:cs="Arial"/>
          <w:lang w:eastAsia="en-US"/>
        </w:rPr>
        <w:t>während die Anzahl der Ausbrüche in Alters- und Pflegeheimen abgenommen hat.</w:t>
      </w:r>
    </w:p>
    <w:p>
      <w:pPr>
        <w:spacing w:before="120"/>
        <w:rPr>
          <w:rFonts w:eastAsia="MS Mincho" w:cs="Arial"/>
          <w:szCs w:val="17"/>
        </w:rPr>
      </w:pPr>
      <w:r>
        <w:rPr>
          <w:rFonts w:eastAsia="MS Mincho" w:cs="Arial"/>
          <w:szCs w:val="17"/>
        </w:rPr>
        <w:t xml:space="preserve">Um einen möglichst kontinuierlichen Betrieb von Kitas und Schulen gewährleisten zu können, erfordert die aktuelle Situation den Einsatz aller organisatorischer und individueller Maßnahmen zur Infektionsprävention (s. u. a. </w:t>
      </w:r>
      <w:hyperlink r:id="rId4" w:history="1">
        <w:r>
          <w:rPr>
            <w:rFonts w:eastAsia="MS Mincho" w:cs="Arial"/>
            <w:color w:val="0000FF"/>
            <w:szCs w:val="17"/>
            <w:u w:val="single"/>
          </w:rPr>
          <w:t>Maßnahmen zur Prävention und Kontrolle der SARS-CoV-2-Übertragung in Schulen - Lebende Leitlinie</w:t>
        </w:r>
      </w:hyperlink>
      <w:r>
        <w:rPr>
          <w:rFonts w:eastAsia="MS Mincho" w:cs="Arial"/>
        </w:rPr>
        <w:t xml:space="preserve">). </w:t>
      </w:r>
      <w:r>
        <w:rPr>
          <w:rFonts w:eastAsia="MS Mincho" w:cs="Arial"/>
          <w:szCs w:val="17"/>
        </w:rPr>
        <w:t>Darüber hinaus muss der Eintrag von SARS-CoV-2 in die Einrichtungen möglichst verhindert werden, d. h. Familien und Beschäftigte sollten ihr Infektionsrisiko außerhalb der Kita oder Schule entsprechend der Empfehlungen des RKI (AHA + L) minimieren und bei Zeichen einer Erkrankung 5-7 Tage zuhause bleiben. Falls es zu Erkrankungen in einer oder mehreren Gruppen kommt, sollte eine frühzeitige reaktive Schließung der Einrichtung aufgrund des hohen Ausbreitungspotenzials der neuen SARS-CoV-2 Varianten erwogen werden, um eine weitere Ausbreitung innerhalb der Kita und in die betroffenen Familien zu verhindern.</w:t>
      </w:r>
    </w:p>
    <w:p>
      <w:pPr>
        <w:spacing w:before="120"/>
        <w:rPr>
          <w:rFonts w:eastAsia="Cambria" w:cs="Arial"/>
          <w:szCs w:val="21"/>
          <w:lang w:eastAsia="en-US"/>
        </w:rPr>
      </w:pPr>
      <w:bookmarkStart w:id="1" w:name="_Hlk62573480"/>
      <w:r>
        <w:rPr>
          <w:rFonts w:eastAsia="MS Mincho" w:cs="Arial"/>
          <w:lang w:eastAsia="en-US"/>
        </w:rPr>
        <w:t xml:space="preserve">Der </w:t>
      </w:r>
      <w:proofErr w:type="spellStart"/>
      <w:r>
        <w:rPr>
          <w:rFonts w:eastAsia="MS Mincho" w:cs="Arial"/>
          <w:lang w:eastAsia="en-US"/>
        </w:rPr>
        <w:t>Positivenanteil</w:t>
      </w:r>
      <w:proofErr w:type="spellEnd"/>
      <w:r>
        <w:rPr>
          <w:rFonts w:eastAsia="MS Mincho" w:cs="Arial"/>
          <w:lang w:eastAsia="en-US"/>
        </w:rPr>
        <w:t xml:space="preserve"> der Testungen nimmt wieder zu und liegt bei über 12%.</w:t>
      </w:r>
      <w:r>
        <w:rPr>
          <w:rFonts w:eastAsia="MS Mincho" w:cs="Arial"/>
          <w:szCs w:val="17"/>
        </w:rPr>
        <w:t xml:space="preserve"> Die drei aktuell bekannten besorgniserregenden Virusvarianten (</w:t>
      </w:r>
      <w:proofErr w:type="spellStart"/>
      <w:r>
        <w:rPr>
          <w:rFonts w:eastAsia="MS Mincho" w:cs="Arial"/>
          <w:szCs w:val="17"/>
        </w:rPr>
        <w:t>Variants</w:t>
      </w:r>
      <w:proofErr w:type="spellEnd"/>
      <w:r>
        <w:rPr>
          <w:rFonts w:eastAsia="MS Mincho" w:cs="Arial"/>
          <w:szCs w:val="17"/>
        </w:rPr>
        <w:t xml:space="preserve"> </w:t>
      </w:r>
      <w:proofErr w:type="spellStart"/>
      <w:r>
        <w:rPr>
          <w:rFonts w:eastAsia="MS Mincho" w:cs="Arial"/>
          <w:szCs w:val="17"/>
        </w:rPr>
        <w:t>Of</w:t>
      </w:r>
      <w:proofErr w:type="spellEnd"/>
      <w:r>
        <w:rPr>
          <w:rFonts w:eastAsia="MS Mincho" w:cs="Arial"/>
          <w:szCs w:val="17"/>
        </w:rPr>
        <w:t xml:space="preserve"> </w:t>
      </w:r>
      <w:proofErr w:type="spellStart"/>
      <w:r>
        <w:rPr>
          <w:rFonts w:eastAsia="MS Mincho" w:cs="Arial"/>
          <w:szCs w:val="17"/>
        </w:rPr>
        <w:t>Concern</w:t>
      </w:r>
      <w:proofErr w:type="spellEnd"/>
      <w:r>
        <w:rPr>
          <w:rFonts w:eastAsia="MS Mincho" w:cs="Arial"/>
          <w:szCs w:val="17"/>
        </w:rPr>
        <w:t>, VOC) der Linie B.1.1.7 (erstmals nachgewiesen in Großbritannien), der Linie B.1.351 (</w:t>
      </w:r>
      <w:r>
        <w:rPr>
          <w:rFonts w:eastAsia="MS Mincho" w:cs="Arial"/>
          <w:szCs w:val="22"/>
        </w:rPr>
        <w:t>erstmals nachgewiesen in Südafrika) und der Linie P.1 (</w:t>
      </w:r>
      <w:r>
        <w:rPr>
          <w:rFonts w:eastAsia="MS Mincho" w:cs="Arial"/>
          <w:szCs w:val="17"/>
        </w:rPr>
        <w:t>erstmals nachgewiesen in Brasilien</w:t>
      </w:r>
      <w:r>
        <w:rPr>
          <w:rFonts w:eastAsia="MS Mincho" w:cs="Arial"/>
          <w:szCs w:val="22"/>
        </w:rPr>
        <w:t xml:space="preserve">) werden </w:t>
      </w:r>
      <w:r>
        <w:rPr>
          <w:rFonts w:eastAsia="Cambria" w:cs="Arial"/>
          <w:szCs w:val="21"/>
          <w:lang w:eastAsia="en-US"/>
        </w:rPr>
        <w:t>mit verstärkter Probensequenzierung und Datenerfassung im Deutschen elektronischen Sequenzdaten-Hub (DESH) (</w:t>
      </w:r>
      <w:hyperlink r:id="rId5" w:history="1">
        <w:r>
          <w:rPr>
            <w:rFonts w:eastAsia="Cambria" w:cs="Arial"/>
            <w:color w:val="0000FF"/>
            <w:szCs w:val="21"/>
            <w:u w:val="single"/>
            <w:lang w:eastAsia="en-US"/>
          </w:rPr>
          <w:t>www.rki.de/covid-19-desh</w:t>
        </w:r>
      </w:hyperlink>
      <w:r>
        <w:rPr>
          <w:rFonts w:eastAsia="Cambria" w:cs="Arial"/>
          <w:szCs w:val="21"/>
          <w:lang w:eastAsia="en-US"/>
        </w:rPr>
        <w:t xml:space="preserve">) im Rahmen der Integrierten Molekularen Surveillance (IMS) intensiv beobachtet. </w:t>
      </w:r>
    </w:p>
    <w:p>
      <w:pPr>
        <w:spacing w:before="120"/>
        <w:rPr>
          <w:rFonts w:eastAsia="MS Mincho" w:cs="Arial"/>
          <w:szCs w:val="22"/>
        </w:rPr>
      </w:pPr>
      <w:r>
        <w:rPr>
          <w:rFonts w:eastAsia="MS Mincho" w:cs="Arial"/>
          <w:lang w:eastAsia="en-US"/>
        </w:rPr>
        <w:t xml:space="preserve">Insgesamt ist die VOC B.1.1.7 inzwischen in Deutschland der vorherrschende COVID-19-Erreger. </w:t>
      </w:r>
      <w:r>
        <w:rPr>
          <w:rFonts w:eastAsia="MS Mincho" w:cs="Arial"/>
          <w:szCs w:val="22"/>
        </w:rPr>
        <w:t xml:space="preserve">Das ist besorgniserregend, weil die VOC B.1.1.7 nach bisherigen Erkenntnissen deutlich ansteckender ist und vermutlich schwerere Krankheitsverläufe verursacht als andere Varianten. Zudem </w:t>
      </w:r>
      <w:r>
        <w:rPr>
          <w:rFonts w:eastAsia="MS Mincho" w:cs="Arial"/>
          <w:lang w:eastAsia="en-US"/>
        </w:rPr>
        <w:t>vermindert</w:t>
      </w:r>
      <w:r>
        <w:rPr>
          <w:rFonts w:eastAsia="MS Mincho" w:cs="Arial"/>
          <w:szCs w:val="22"/>
        </w:rPr>
        <w:t xml:space="preserve"> </w:t>
      </w:r>
      <w:r>
        <w:rPr>
          <w:rFonts w:eastAsia="MS Mincho" w:cs="Arial"/>
          <w:lang w:eastAsia="en-US"/>
        </w:rPr>
        <w:t xml:space="preserve">die zunehmende Verbreitung und Dominanz der VOC B.1.1.7 die Wirksamkeit der bislang erprobten Infektionsschutzmaßnahmen erheblich. </w:t>
      </w:r>
    </w:p>
    <w:bookmarkEnd w:id="1"/>
    <w:p>
      <w:pPr>
        <w:spacing w:before="120"/>
        <w:rPr>
          <w:rFonts w:eastAsia="MS Mincho" w:cs="Arial"/>
          <w:szCs w:val="17"/>
        </w:rPr>
      </w:pPr>
      <w:r>
        <w:rPr>
          <w:rFonts w:eastAsia="MS Mincho" w:cs="Arial"/>
          <w:lang w:eastAsia="en-US"/>
        </w:rPr>
        <w:t>Der Anstieg der Fallzahlen insgesamt und der Infektionen durch die VOC B.1.1.7. führt aktuell zu einer ansteigenden Anzahl von Hospitalisierungen und intensivpflichtigen Patientinnen und Patienten.</w:t>
      </w:r>
      <w:r>
        <w:rPr>
          <w:rFonts w:eastAsia="MS Mincho" w:cs="Arial"/>
        </w:rPr>
        <w:t xml:space="preserve"> </w:t>
      </w:r>
      <w:r>
        <w:rPr>
          <w:rFonts w:eastAsia="MS Mincho" w:cs="Arial"/>
          <w:szCs w:val="17"/>
        </w:rPr>
        <w:t xml:space="preserve">Bundesweit ist seit Mitte März wieder ein deutlicher Anstieg der COVID-19-Fallzahlen auf Intensivstationen (ITS) zu verzeichnen. </w:t>
      </w:r>
    </w:p>
    <w:p>
      <w:pPr>
        <w:spacing w:before="120"/>
        <w:rPr>
          <w:rFonts w:eastAsia="MS Mincho" w:cs="Arial"/>
          <w:szCs w:val="17"/>
        </w:rPr>
      </w:pPr>
      <w:r>
        <w:rPr>
          <w:rFonts w:eastAsia="MS Mincho" w:cs="Arial"/>
        </w:rPr>
        <w:lastRenderedPageBreak/>
        <w:t>Alle Impfstoffe, die aktuell in Deutschland zur Verfügung stehen, schützen nach derzeitigen Erkenntnissen sehr gut vor einer Erkrankung durch die in Deutschland hauptsächlich zirkulierende VOC B.1.1.7, und sie schützen auch vor schweren Erkrankungen durch die anderen Varianten.</w:t>
      </w:r>
      <w:r>
        <w:rPr>
          <w:rFonts w:eastAsia="MS Mincho" w:cs="Arial"/>
          <w:szCs w:val="17"/>
        </w:rPr>
        <w:t xml:space="preserve"> </w:t>
      </w:r>
    </w:p>
    <w:p>
      <w:pPr>
        <w:spacing w:before="120"/>
        <w:rPr>
          <w:rFonts w:eastAsia="MS Mincho" w:cs="Arial"/>
          <w:szCs w:val="17"/>
        </w:rPr>
      </w:pPr>
      <w:r>
        <w:rPr>
          <w:rFonts w:eastAsia="MS Mincho" w:cs="Arial"/>
          <w:szCs w:val="17"/>
        </w:rPr>
        <w:t>Nicht notwendige Reisen sollten weiterhin, insbesondere aufgrund der zunehmenden Verbreitung der besorgniserregenden Virusvarianten, unbedingt vermieden werden.</w:t>
      </w:r>
    </w:p>
    <w:p>
      <w:pPr>
        <w:spacing w:before="120" w:after="240"/>
        <w:rPr>
          <w:rFonts w:eastAsia="MS Mincho" w:cs="Arial"/>
          <w:lang w:eastAsia="en-US"/>
        </w:rPr>
      </w:pPr>
      <w:r>
        <w:rPr>
          <w:rFonts w:eastAsia="MS Mincho" w:cs="Arial"/>
          <w:lang w:eastAsia="en-US"/>
        </w:rPr>
        <w:t>Mit deutlich sichtbaren Erfolgen der Impfkampagne ist erst in einigen Wochen zu rechnen. Gesamtgesellschaftliche Infektionsschutzmaßnahmen sind daher nötig, um die Infektionsdynamik zu bremsen.</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FF8F1-5C66-4CF4-940B-AE42AF38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20"/>
    </w:pPr>
    <w:rPr>
      <w:rFonts w:ascii="Calibri" w:eastAsiaTheme="minorEastAsia" w:hAnsi="Calibri"/>
      <w:szCs w:val="20"/>
      <w:lang w:eastAsia="de-DE"/>
    </w:rPr>
  </w:style>
  <w:style w:type="paragraph" w:styleId="berschrift2">
    <w:name w:val="heading 2"/>
    <w:basedOn w:val="Standard"/>
    <w:next w:val="Standard"/>
    <w:link w:val="berschrift2Zchn"/>
    <w:uiPriority w:val="9"/>
    <w:unhideWhenUsed/>
    <w:qFormat/>
    <w:pPr>
      <w:keepNext/>
      <w:keepLines/>
      <w:spacing w:before="120"/>
      <w:outlineLvl w:val="1"/>
    </w:pPr>
    <w:rPr>
      <w:rFonts w:asciiTheme="majorHAnsi" w:eastAsiaTheme="majorEastAsia" w:hAnsiTheme="majorHAnsi" w:cstheme="majorBidi"/>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sz w:val="24"/>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ki.de/covid-19-desh" TargetMode="External"/><Relationship Id="rId4" Type="http://schemas.openxmlformats.org/officeDocument/2006/relationships/hyperlink" Target="https://www.awmf.org/leitlinien/detail/ll/027-076.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Preußel, Karina</dc:creator>
  <cp:keywords/>
  <dc:description/>
  <cp:lastModifiedBy>Preußel, Karina</cp:lastModifiedBy>
  <cp:revision>2</cp:revision>
  <dcterms:created xsi:type="dcterms:W3CDTF">2021-04-21T07:12:00Z</dcterms:created>
  <dcterms:modified xsi:type="dcterms:W3CDTF">2021-04-21T07:14:00Z</dcterms:modified>
</cp:coreProperties>
</file>