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15.03.2021: Anpassung im Bereich Risikobewertung (Anpassung zur Beschreibung der Fallzahlentwicklung und aktuelle Zirkulation besorgniserregender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mit der Impfung der Bevölkerung begonnen, werden die hohen Altersgruppen priorisiert.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können auch Risikogruppen wie ältere Personen und Menschen mit Grunderkrankungen zuverlässig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Rückgang ab Ende Dezember steigen die 7-Tage-Inzidenz und Fallzahlen im Bundesgebiet seit Februar wieder an und beschleunigt sich aktuell, dies betrifft alle Altersgruppen unter 65 Jahren. Ein besonders rascher Anstieg wird bei Kindern und Jugendlichen beobachtet.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steigen seit Mitte März 2021 deutlich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Zahlreiche Häufungen werden vor allem in Privathaushalten, in Kitas und zunehmend Schulen sowie dem beruflichen Umfeld einschließlich der Kontakte unter der Belegschaft beobachtet. Die Zahl von COVID-19-bedingten Ausbrüchen in Alten- und Pflegeheimen und Krankenhäusern nimmt unter anderem aufgrund der fortschreitenden Durchimpfung weiter ab.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w:t>
      </w:r>
      <w:r>
        <w:rPr>
          <w:rFonts w:ascii="Times New Roman" w:eastAsia="Times New Roman" w:hAnsi="Times New Roman" w:cs="Times New Roman"/>
          <w:sz w:val="24"/>
          <w:szCs w:val="24"/>
          <w:lang w:eastAsia="de-DE"/>
        </w:rPr>
        <w:lastRenderedPageBreak/>
        <w:t>und sichere Impfstoffe sind seit Ende 2020 zugelassen. Da sie noch nicht in ausreichenden Mengen zur Verfügung stehen, werden die Impfdosen aktuell vorrangig den besonders gefährdeten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neuer Varianten von SARS-CoV-2 (B.1.1.7, B.1.351 und P1) ist besorgniserregend. Diese besorgniserregenden Varianten (VOC) werden auch in Deutschland nachgewiesen. Insgesamt ist die Variante B.1.1.7 inzwischen in Deutschland der vorherrschende COVID-19-Erreger.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und sie schützen auch vor schweren Erkrankungen durch die anderen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abhängig vom individuellen Verhalten (AHA+L-Regel: Abstand halten, Hygiene beachten, Alltag mit Masken und regelmäßiges Lüften), vom Impfstatus, von der regionalen Verbreitung und von den Lebensbedingungen.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liegen inzwischen zunehmend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angespannt und kann sehr schnell wieder zunehmen, so dass das öffentliche Gesundheitswesen und die Einrichtungen für die stationäre medizinische Versorgung örtlich überlastet werden.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unbedingt für mindestens fünf Tage zu Hause bleiben und alle weiteren Kontakte vermeiden. Derzeit sollten auf Reisen unbedingt verzichtet werden. 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31.03.2021</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64CD0"/>
    <w:multiLevelType w:val="multilevel"/>
    <w:tmpl w:val="FCD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02D7A"/>
    <w:multiLevelType w:val="multilevel"/>
    <w:tmpl w:val="C54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57C3-1DB7-4B64-A2D5-31137D8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62268">
      <w:bodyDiv w:val="1"/>
      <w:marLeft w:val="0"/>
      <w:marRight w:val="0"/>
      <w:marTop w:val="0"/>
      <w:marBottom w:val="0"/>
      <w:divBdr>
        <w:top w:val="none" w:sz="0" w:space="0" w:color="auto"/>
        <w:left w:val="none" w:sz="0" w:space="0" w:color="auto"/>
        <w:bottom w:val="none" w:sz="0" w:space="0" w:color="auto"/>
        <w:right w:val="none" w:sz="0" w:space="0" w:color="auto"/>
      </w:divBdr>
      <w:divsChild>
        <w:div w:id="1042560126">
          <w:marLeft w:val="0"/>
          <w:marRight w:val="0"/>
          <w:marTop w:val="0"/>
          <w:marBottom w:val="0"/>
          <w:divBdr>
            <w:top w:val="none" w:sz="0" w:space="0" w:color="auto"/>
            <w:left w:val="none" w:sz="0" w:space="0" w:color="auto"/>
            <w:bottom w:val="none" w:sz="0" w:space="0" w:color="auto"/>
            <w:right w:val="none" w:sz="0" w:space="0" w:color="auto"/>
          </w:divBdr>
        </w:div>
        <w:div w:id="166207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8C72CD7C92DBFFE4E681604426F3BD28.internet101?nn=13490888" TargetMode="External"/><Relationship Id="rId13" Type="http://schemas.openxmlformats.org/officeDocument/2006/relationships/hyperlink" Target="https://www.corona-schutzimpfung.de" TargetMode="Externa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8C72CD7C92DBFFE4E681604426F3BD28.internet10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8C72CD7C92DBFFE4E681604426F3BD28.internet10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8C72CD7C92DBFFE4E681604426F3BD28.internet10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1995</Words>
  <Characters>12573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2021-04-19T11:49:00Z</dcterms:created>
  <dcterms:modified xsi:type="dcterms:W3CDTF">2021-04-19T11:49:00Z</dcterms:modified>
</cp:coreProperties>
</file>