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bookmarkStart w:id="0" w:name="_GoBack"/>
      <w:bookmarkEnd w:id="0"/>
      <w:r>
        <w:t>Definitionen Genesene, Geimpfte, Getestete</w:t>
      </w:r>
    </w:p>
    <w:p/>
    <w:p>
      <w:r>
        <w:t>Stand 23.04.2021</w:t>
      </w:r>
    </w:p>
    <w:p>
      <w:r>
        <w:t>Erstellt durch: RKI-Krisenstab</w:t>
      </w:r>
    </w:p>
    <w:p>
      <w:pPr>
        <w:pStyle w:val="berschrift2"/>
      </w:pPr>
      <w:r>
        <w:t>Vorbemerkung</w:t>
      </w:r>
    </w:p>
    <w:p>
      <w:r>
        <w:t>Diese Definitionen beziehen sich auf aktuelle Gesetzte und Verordnungen zu bevölkerungsbasierten Maßnahmen zur Eindämmung der COVID-19-Pandemie in Deutschland und soll deren Umsetzung erleichtern. Zu anderen Zwecken werden ggf. andere Definitionen genutzt (z.B. in individualmedizinische</w:t>
      </w:r>
      <w:ins w:id="1" w:author="Mankertz, Annette" w:date="2021-04-23T13:32:00Z">
        <w:r>
          <w:t>m</w:t>
        </w:r>
      </w:ins>
      <w:del w:id="2" w:author="Mankertz, Annette" w:date="2021-04-23T13:32:00Z">
        <w:r>
          <w:delText>n</w:delText>
        </w:r>
      </w:del>
      <w:r>
        <w:t xml:space="preserve"> klinischem Zusammenhang, beim Kontaktpersonenmanagement, oder zur infektionsepidemiologischen Surveillance/ zur Ausweisung auf dem Dashboard)</w:t>
      </w:r>
    </w:p>
    <w:p/>
    <w:p>
      <w:pPr>
        <w:pStyle w:val="berschrift2"/>
      </w:pPr>
      <w:r>
        <w:t xml:space="preserve">Wie ist die jeweilige Definition? </w:t>
      </w:r>
    </w:p>
    <w:p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Genesene</w:t>
      </w:r>
    </w:p>
    <w:p>
      <w:r>
        <w:t xml:space="preserve">Als </w:t>
      </w:r>
      <w:del w:id="3" w:author="Mankertz, Annette" w:date="2021-04-23T13:33:00Z">
        <w:r>
          <w:delText xml:space="preserve">Genesen </w:delText>
        </w:r>
      </w:del>
      <w:ins w:id="4" w:author="Mankertz, Annette" w:date="2021-04-23T13:33:00Z">
        <w:r>
          <w:t xml:space="preserve">genesen </w:t>
        </w:r>
      </w:ins>
      <w:del w:id="5" w:author="Mankertz, Annette" w:date="2021-04-23T13:33:00Z">
        <w:r>
          <w:delText xml:space="preserve">kann </w:delText>
        </w:r>
      </w:del>
      <w:r>
        <w:t>gelten</w:t>
      </w:r>
      <w:ins w:id="6" w:author="Mankertz, Annette" w:date="2021-04-23T13:33:00Z">
        <w:r>
          <w:t xml:space="preserve"> Personen</w:t>
        </w:r>
      </w:ins>
      <w:r>
        <w:t xml:space="preserve">, </w:t>
      </w:r>
      <w:del w:id="7" w:author="Mankertz, Annette" w:date="2021-04-23T13:33:00Z">
        <w:r>
          <w:delText xml:space="preserve">wessen </w:delText>
        </w:r>
      </w:del>
      <w:ins w:id="8" w:author="Mankertz, Annette" w:date="2021-04-23T13:33:00Z">
        <w:r>
          <w:t xml:space="preserve">deren </w:t>
        </w:r>
      </w:ins>
      <w:r>
        <w:t>positiver PCR-Befund min</w:t>
      </w:r>
      <w:ins w:id="9" w:author="Mankertz, Annette" w:date="2021-04-23T13:32:00Z">
        <w:r>
          <w:t>destens</w:t>
        </w:r>
      </w:ins>
      <w:r>
        <w:t xml:space="preserve"> 28 Tage und maximal 6 Monate (180 Tage) zurückliegt und </w:t>
      </w:r>
      <w:del w:id="10" w:author="Mankertz, Annette" w:date="2021-04-23T13:33:00Z">
        <w:r>
          <w:delText xml:space="preserve">wer </w:delText>
        </w:r>
      </w:del>
      <w:ins w:id="11" w:author="Mankertz, Annette" w:date="2021-04-23T13:33:00Z">
        <w:r>
          <w:t xml:space="preserve">die </w:t>
        </w:r>
      </w:ins>
      <w:r>
        <w:t xml:space="preserve">nach ärztlichem Urteil eine mindestens 48 Stunden </w:t>
      </w:r>
      <w:del w:id="12" w:author="Mankertz, Annette" w:date="2021-04-23T13:32:00Z">
        <w:r>
          <w:delText xml:space="preserve">fortdauernde </w:delText>
        </w:r>
      </w:del>
      <w:ins w:id="13" w:author="Mankertz, Annette" w:date="2021-04-23T13:32:00Z">
        <w:r>
          <w:t xml:space="preserve">andauernde </w:t>
        </w:r>
      </w:ins>
      <w:r>
        <w:t>nachhaltige Besserung der akuten COVID-19-Symptomatik aufweis</w:t>
      </w:r>
      <w:ins w:id="14" w:author="Mankertz, Annette" w:date="2021-04-23T13:34:00Z">
        <w:r>
          <w:t>en</w:t>
        </w:r>
      </w:ins>
      <w:del w:id="15" w:author="Mankertz, Annette" w:date="2021-04-23T13:34:00Z">
        <w:r>
          <w:delText>t</w:delText>
        </w:r>
      </w:del>
      <w:r>
        <w:t xml:space="preserve"> und aus der Isolierung entlassen wurde</w:t>
      </w:r>
      <w:ins w:id="16" w:author="Mankertz, Annette" w:date="2021-04-23T13:34:00Z">
        <w:r>
          <w:t>n</w:t>
        </w:r>
      </w:ins>
      <w:r>
        <w:t xml:space="preserve">. </w:t>
      </w:r>
    </w:p>
    <w:p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Vollständig Geimpfte</w:t>
      </w:r>
    </w:p>
    <w:p>
      <w:r>
        <w:t xml:space="preserve">Als vollständig geimpft gelten Personen, die mit einem von der STIKO empfohlenen Impfstoff vollständig geimpft (2-fach bzw. J&amp;J 1-fach) </w:t>
      </w:r>
      <w:ins w:id="17" w:author="Mankertz, Annette" w:date="2021-04-23T13:34:00Z">
        <w:r>
          <w:t xml:space="preserve">wurden und wenn nach der letzten Impfung </w:t>
        </w:r>
      </w:ins>
      <w:del w:id="18" w:author="Mankertz, Annette" w:date="2021-04-23T13:34:00Z">
        <w:r>
          <w:delText xml:space="preserve">plus </w:delText>
        </w:r>
      </w:del>
      <w:r>
        <w:t>14 Tage</w:t>
      </w:r>
      <w:ins w:id="19" w:author="Mankertz, Annette" w:date="2021-04-23T13:34:00Z">
        <w:r>
          <w:t xml:space="preserve"> vergangen sind</w:t>
        </w:r>
      </w:ins>
      <w:r>
        <w:t xml:space="preserve">. </w:t>
      </w:r>
    </w:p>
    <w:p>
      <w:r>
        <w:t>Als vollständig geimpft gelten darüber hinaus auch Genesene (</w:t>
      </w:r>
      <w:proofErr w:type="spellStart"/>
      <w:r>
        <w:t>Def</w:t>
      </w:r>
      <w:proofErr w:type="spellEnd"/>
      <w:r>
        <w:t xml:space="preserve">. siehe oben), die nach </w:t>
      </w:r>
      <w:del w:id="20" w:author="Mankertz, Annette" w:date="2021-04-23T13:35:00Z">
        <w:r>
          <w:delText xml:space="preserve">der </w:delText>
        </w:r>
      </w:del>
      <w:ins w:id="21" w:author="Mankertz, Annette" w:date="2021-04-23T13:35:00Z">
        <w:r>
          <w:t xml:space="preserve">einer nachgewiesenen SARS-CoV2 </w:t>
        </w:r>
      </w:ins>
      <w:r>
        <w:t>Infektion mit einer Impfstoffdosis eines von der STIKO empfohlenen Impfstoff</w:t>
      </w:r>
      <w:ins w:id="22" w:author="Mankertz, Annette" w:date="2021-04-23T13:35:00Z">
        <w:r>
          <w:t xml:space="preserve">s </w:t>
        </w:r>
      </w:ins>
      <w:del w:id="23" w:author="Mankertz, Annette" w:date="2021-04-23T13:35:00Z">
        <w:r>
          <w:delText xml:space="preserve"> </w:delText>
        </w:r>
      </w:del>
      <w:r>
        <w:t xml:space="preserve">geimpft </w:t>
      </w:r>
      <w:commentRangeStart w:id="24"/>
      <w:r>
        <w:t>sind</w:t>
      </w:r>
      <w:commentRangeEnd w:id="24"/>
      <w:r>
        <w:rPr>
          <w:rStyle w:val="Kommentarzeichen"/>
        </w:rPr>
        <w:commentReference w:id="24"/>
      </w:r>
      <w:r>
        <w:t>.</w:t>
      </w:r>
    </w:p>
    <w:p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Akut negativ Getestete</w:t>
      </w:r>
    </w:p>
    <w:p>
      <w:r>
        <w:t xml:space="preserve">Als akut negativ getestet gelten Personen, die </w:t>
      </w:r>
      <w:ins w:id="25" w:author="Mankertz, Annette" w:date="2021-04-23T13:36:00Z">
        <w:r>
          <w:t xml:space="preserve">im Besitz </w:t>
        </w:r>
      </w:ins>
      <w:del w:id="26" w:author="Mankertz, Annette" w:date="2021-04-23T13:36:00Z">
        <w:r>
          <w:delText xml:space="preserve">einen </w:delText>
        </w:r>
      </w:del>
      <w:ins w:id="27" w:author="Mankertz, Annette" w:date="2021-04-23T13:36:00Z">
        <w:r>
          <w:t xml:space="preserve">eines </w:t>
        </w:r>
      </w:ins>
      <w:ins w:id="28" w:author="Mankertz, Annette" w:date="2021-04-23T13:37:00Z">
        <w:r>
          <w:t xml:space="preserve">negativen Testergebnisses sind. Der Test muss </w:t>
        </w:r>
      </w:ins>
      <w:r>
        <w:t xml:space="preserve">von einer dazu berechtigten Stelle </w:t>
      </w:r>
      <w:ins w:id="29" w:author="Mankertz, Annette" w:date="2021-04-23T13:38:00Z">
        <w:r>
          <w:t xml:space="preserve">mittels eines </w:t>
        </w:r>
        <w:proofErr w:type="spellStart"/>
        <w:r>
          <w:t>Nukleinsäurenachweises</w:t>
        </w:r>
        <w:proofErr w:type="spellEnd"/>
        <w:r>
          <w:t xml:space="preserve"> oder POC-AG-Tests (siehe vom </w:t>
        </w:r>
        <w:r>
          <w:fldChar w:fldCharType="begin"/>
        </w:r>
        <w:r>
          <w:instrText xml:space="preserve"> HYPERLINK "https://www.bfarm.de/DE/Medizinprodukte/Antigentests/_node.html" </w:instrText>
        </w:r>
        <w:r>
          <w:fldChar w:fldCharType="separate"/>
        </w:r>
        <w:r>
          <w:rPr>
            <w:rStyle w:val="Hyperlink"/>
          </w:rPr>
          <w:t>BfArm zugelassene/ empfohlene Tests</w:t>
        </w:r>
        <w:r>
          <w:rPr>
            <w:rStyle w:val="Hyperlink"/>
          </w:rPr>
          <w:fldChar w:fldCharType="end"/>
        </w:r>
        <w:r>
          <w:rPr>
            <w:rStyle w:val="Hyperlink"/>
          </w:rPr>
          <w:t xml:space="preserve">) </w:t>
        </w:r>
      </w:ins>
      <w:del w:id="30" w:author="Mankertz, Annette" w:date="2021-04-23T13:36:00Z">
        <w:r>
          <w:delText xml:space="preserve">erbrachten </w:delText>
        </w:r>
      </w:del>
      <w:ins w:id="31" w:author="Mankertz, Annette" w:date="2021-04-23T13:36:00Z">
        <w:r>
          <w:t>durchgeführt</w:t>
        </w:r>
      </w:ins>
      <w:ins w:id="32" w:author="Mankertz, Annette" w:date="2021-04-23T13:37:00Z">
        <w:r>
          <w:t xml:space="preserve"> worden </w:t>
        </w:r>
      </w:ins>
      <w:ins w:id="33" w:author="Mankertz, Annette" w:date="2021-04-23T13:38:00Z">
        <w:r>
          <w:t>sein und</w:t>
        </w:r>
      </w:ins>
      <w:del w:id="34" w:author="Mankertz, Annette" w:date="2021-04-23T13:38:00Z">
        <w:r>
          <w:delText xml:space="preserve">Nachweis </w:delText>
        </w:r>
      </w:del>
      <w:del w:id="35" w:author="Mankertz, Annette" w:date="2021-04-23T13:37:00Z">
        <w:r>
          <w:delText>erbringen können</w:delText>
        </w:r>
      </w:del>
      <w:del w:id="36" w:author="Mankertz, Annette" w:date="2021-04-23T13:38:00Z">
        <w:r>
          <w:delText xml:space="preserve">, </w:delText>
        </w:r>
      </w:del>
      <w:del w:id="37" w:author="Mankertz, Annette" w:date="2021-04-23T13:37:00Z">
        <w:r>
          <w:delText xml:space="preserve">dass </w:delText>
        </w:r>
      </w:del>
      <w:del w:id="38" w:author="Mankertz, Annette" w:date="2021-04-23T13:38:00Z">
        <w:r>
          <w:delText xml:space="preserve">sie mittels eines Nukleinsäurenachweises oder POC-AG-Testung (siehe vom </w:delText>
        </w:r>
        <w:r>
          <w:fldChar w:fldCharType="begin"/>
        </w:r>
        <w:r>
          <w:delInstrText xml:space="preserve"> HYPERLINK "https://www.bfarm.de/DE/Medizinprodukte/Antigentests/_node.html" </w:delInstrText>
        </w:r>
        <w:r>
          <w:fldChar w:fldCharType="separate"/>
        </w:r>
        <w:r>
          <w:rPr>
            <w:rStyle w:val="Hyperlink"/>
          </w:rPr>
          <w:delText>BfArm zugelassene/ empfohlene Tests</w:delText>
        </w:r>
        <w:r>
          <w:rPr>
            <w:rStyle w:val="Hyperlink"/>
          </w:rPr>
          <w:fldChar w:fldCharType="end"/>
        </w:r>
        <w:r>
          <w:rPr>
            <w:rStyle w:val="Hyperlink"/>
          </w:rPr>
          <w:delText xml:space="preserve">) </w:delText>
        </w:r>
        <w:r>
          <w:delText xml:space="preserve">negativ getestet </w:delText>
        </w:r>
      </w:del>
      <w:del w:id="39" w:author="Mankertz, Annette" w:date="2021-04-23T13:37:00Z">
        <w:r>
          <w:delText>zu sein</w:delText>
        </w:r>
      </w:del>
      <w:del w:id="40" w:author="Mankertz, Annette" w:date="2021-04-23T13:38:00Z">
        <w:r>
          <w:delText>. Dieser Nachweis</w:delText>
        </w:r>
      </w:del>
      <w:r>
        <w:t xml:space="preserve"> gilt </w:t>
      </w:r>
      <w:ins w:id="41" w:author="Mankertz, Annette" w:date="2021-04-23T13:38:00Z">
        <w:r>
          <w:t xml:space="preserve">bis </w:t>
        </w:r>
      </w:ins>
      <w:r>
        <w:t xml:space="preserve">max. 24 h nach Abnahme. </w:t>
      </w:r>
    </w:p>
    <w:p>
      <w:pPr>
        <w:rPr>
          <w:b/>
        </w:rPr>
      </w:pPr>
      <w:r>
        <w:t xml:space="preserve">Es </w:t>
      </w:r>
      <w:del w:id="42" w:author="Mankertz, Annette" w:date="2021-04-23T13:38:00Z">
        <w:r>
          <w:delText>muss aber</w:delText>
        </w:r>
      </w:del>
      <w:ins w:id="43" w:author="Mankertz, Annette" w:date="2021-04-23T13:38:00Z">
        <w:r>
          <w:t>wird</w:t>
        </w:r>
      </w:ins>
      <w:r>
        <w:t xml:space="preserve"> darauf hingewiesen</w:t>
      </w:r>
      <w:del w:id="44" w:author="Mankertz, Annette" w:date="2021-04-23T13:38:00Z">
        <w:r>
          <w:delText xml:space="preserve"> werden</w:delText>
        </w:r>
      </w:del>
      <w:r>
        <w:t>, dass ein negatives Testergebnis</w:t>
      </w:r>
      <w:r>
        <w:rPr>
          <w:strike/>
          <w:rPrChange w:id="45" w:author="Mankertz, Annette" w:date="2021-04-23T13:39:00Z">
            <w:rPr/>
          </w:rPrChange>
        </w:rPr>
        <w:t xml:space="preserve"> eine andere Wertigkeit hat, als vollständig Geimpfte und frisch Genesene, </w:t>
      </w:r>
      <w:commentRangeStart w:id="46"/>
      <w:r>
        <w:rPr>
          <w:strike/>
          <w:rPrChange w:id="47" w:author="Mankertz, Annette" w:date="2021-04-23T13:40:00Z">
            <w:rPr/>
          </w:rPrChange>
        </w:rPr>
        <w:t xml:space="preserve">da </w:t>
      </w:r>
      <w:commentRangeEnd w:id="46"/>
      <w:r>
        <w:rPr>
          <w:rStyle w:val="Kommentarzeichen"/>
          <w:strike/>
          <w:rPrChange w:id="48" w:author="Mankertz, Annette" w:date="2021-04-23T13:40:00Z">
            <w:rPr>
              <w:rStyle w:val="Kommentarzeichen"/>
            </w:rPr>
          </w:rPrChange>
        </w:rPr>
        <w:commentReference w:id="46"/>
      </w:r>
      <w:del w:id="49" w:author="Mankertz, Annette" w:date="2021-04-23T13:40:00Z">
        <w:r>
          <w:rPr>
            <w:strike/>
            <w:rPrChange w:id="50" w:author="Mankertz, Annette" w:date="2021-04-23T13:40:00Z">
              <w:rPr/>
            </w:rPrChange>
          </w:rPr>
          <w:delText xml:space="preserve">das </w:delText>
        </w:r>
      </w:del>
      <w:ins w:id="51" w:author="Mankertz, Annette" w:date="2021-04-23T13:40:00Z">
        <w:r>
          <w:rPr>
            <w:strike/>
            <w:rPrChange w:id="52" w:author="Mankertz, Annette" w:date="2021-04-23T13:40:00Z">
              <w:rPr/>
            </w:rPrChange>
          </w:rPr>
          <w:t xml:space="preserve">ein negatives </w:t>
        </w:r>
      </w:ins>
      <w:r>
        <w:rPr>
          <w:strike/>
          <w:rPrChange w:id="53" w:author="Mankertz, Annette" w:date="2021-04-23T13:40:00Z">
            <w:rPr/>
          </w:rPrChange>
        </w:rPr>
        <w:t>Testergebnis</w:t>
      </w:r>
      <w:r>
        <w:t xml:space="preserve"> nur eine Momentaufnahme darstellt. Diese Personengruppe ist </w:t>
      </w:r>
      <w:del w:id="54" w:author="Mankertz, Annette" w:date="2021-04-23T13:41:00Z">
        <w:r>
          <w:delText>auch weiterhin suszeptibel</w:delText>
        </w:r>
      </w:del>
      <w:ins w:id="55" w:author="Mankertz, Annette" w:date="2021-04-23T13:43:00Z">
        <w:r>
          <w:t>ungeschützt</w:t>
        </w:r>
      </w:ins>
      <w:r>
        <w:t xml:space="preserve"> und damit besteht </w:t>
      </w:r>
      <w:del w:id="56" w:author="Mankertz, Annette" w:date="2021-04-23T13:41:00Z">
        <w:r>
          <w:delText xml:space="preserve">nach wie vor </w:delText>
        </w:r>
      </w:del>
      <w:r>
        <w:t xml:space="preserve">ein </w:t>
      </w:r>
      <w:del w:id="57" w:author="Mankertz, Annette" w:date="2021-04-23T13:41:00Z">
        <w:r>
          <w:delText xml:space="preserve">viel </w:delText>
        </w:r>
      </w:del>
      <w:r>
        <w:t>höheres Risiko für eine</w:t>
      </w:r>
      <w:ins w:id="58" w:author="Mankertz, Annette" w:date="2021-04-23T13:41:00Z">
        <w:r>
          <w:t xml:space="preserve"> Ansteckung und eine</w:t>
        </w:r>
      </w:ins>
      <w:r>
        <w:t xml:space="preserve">n </w:t>
      </w:r>
      <w:del w:id="59" w:author="Mankertz, Annette" w:date="2021-04-23T13:41:00Z">
        <w:r>
          <w:delText xml:space="preserve">eigenen </w:delText>
        </w:r>
      </w:del>
      <w:r>
        <w:t xml:space="preserve">schweren Krankheitsverlauf </w:t>
      </w:r>
      <w:del w:id="60" w:author="Mankertz, Annette" w:date="2021-04-23T13:41:00Z">
        <w:r>
          <w:delText xml:space="preserve">bei </w:delText>
        </w:r>
      </w:del>
      <w:ins w:id="61" w:author="Mankertz, Annette" w:date="2021-04-23T13:41:00Z">
        <w:r>
          <w:t xml:space="preserve">nach einer </w:t>
        </w:r>
      </w:ins>
      <w:r>
        <w:t>Infektion als bei Genesenen oder Geimpften. Ein negatives Antigentestergebnis schließt</w:t>
      </w:r>
      <w:ins w:id="62" w:author="Mankertz, Annette" w:date="2021-04-23T13:42:00Z">
        <w:r>
          <w:t xml:space="preserve"> deswegen</w:t>
        </w:r>
      </w:ins>
      <w:r>
        <w:t xml:space="preserve"> </w:t>
      </w:r>
      <w:del w:id="63" w:author="Mankertz, Annette" w:date="2021-04-23T13:42:00Z">
        <w:r>
          <w:delText>(</w:delText>
        </w:r>
      </w:del>
      <w:r>
        <w:t xml:space="preserve">sowohl bei symptomatischen als auch </w:t>
      </w:r>
      <w:r>
        <w:lastRenderedPageBreak/>
        <w:t>symptomlosen Personen</w:t>
      </w:r>
      <w:del w:id="64" w:author="Mankertz, Annette" w:date="2021-04-23T13:42:00Z">
        <w:r>
          <w:delText>)</w:delText>
        </w:r>
      </w:del>
      <w:r>
        <w:t xml:space="preserve"> eine SARS-CoV-2- Infektion und auch </w:t>
      </w:r>
      <w:del w:id="65" w:author="Mankertz, Annette" w:date="2021-04-23T13:42:00Z">
        <w:r>
          <w:delText xml:space="preserve">Kontagiösität </w:delText>
        </w:r>
      </w:del>
      <w:ins w:id="66" w:author="Mankertz, Annette" w:date="2021-04-23T13:42:00Z">
        <w:r>
          <w:t>Ü</w:t>
        </w:r>
      </w:ins>
      <w:del w:id="67" w:author="Mankertz, Annette" w:date="2021-04-23T13:42:00Z">
        <w:r>
          <w:delText>(ü</w:delText>
        </w:r>
      </w:del>
      <w:r>
        <w:t>bertragung</w:t>
      </w:r>
      <w:ins w:id="68" w:author="Mankertz, Annette" w:date="2021-04-23T13:42:00Z">
        <w:r>
          <w:t xml:space="preserve"> auf Dritte </w:t>
        </w:r>
      </w:ins>
      <w:del w:id="69" w:author="Mankertz, Annette" w:date="2021-04-23T13:42:00Z">
        <w:r>
          <w:delText xml:space="preserve">srelevante Infektion) </w:delText>
        </w:r>
      </w:del>
      <w:r>
        <w:t xml:space="preserve">nicht aus. </w:t>
      </w: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4" w:author="Mankertz, Annette" w:date="2021-04-23T13:36:00Z" w:initials="MA">
    <w:p>
      <w:pPr>
        <w:pStyle w:val="Kommentartext"/>
      </w:pPr>
      <w:r>
        <w:rPr>
          <w:rStyle w:val="Kommentarzeichen"/>
        </w:rPr>
        <w:annotationRef/>
      </w:r>
      <w:r>
        <w:t>Gibt es hier auch die 14 Tage Frist?</w:t>
      </w:r>
    </w:p>
  </w:comment>
  <w:comment w:id="46" w:author="Mankertz, Annette" w:date="2021-04-23T13:39:00Z" w:initials="MA">
    <w:p>
      <w:pPr>
        <w:pStyle w:val="Kommentartext"/>
      </w:pPr>
      <w:r>
        <w:rPr>
          <w:rStyle w:val="Kommentarzeichen"/>
        </w:rPr>
        <w:annotationRef/>
      </w:r>
      <w:r>
        <w:t>Ich würde das rauslassen, um die Dinge nicht zu komplizieren.</w:t>
      </w:r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D622F"/>
    <w:multiLevelType w:val="hybridMultilevel"/>
    <w:tmpl w:val="CA1AC5D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55142"/>
    <w:multiLevelType w:val="hybridMultilevel"/>
    <w:tmpl w:val="B67662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nkertz, Annette">
    <w15:presenceInfo w15:providerId="None" w15:userId="Mankertz, Annet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B16BE-356D-4820-9ACE-D15CCA48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  <w:lang w:val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2360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Rexroth, Ute</dc:creator>
  <cp:keywords/>
  <dc:description/>
  <cp:lastModifiedBy>Rexroth, Ute</cp:lastModifiedBy>
  <cp:revision>2</cp:revision>
  <dcterms:created xsi:type="dcterms:W3CDTF">2021-04-26T06:56:00Z</dcterms:created>
  <dcterms:modified xsi:type="dcterms:W3CDTF">2021-04-26T06:56:00Z</dcterms:modified>
</cp:coreProperties>
</file>