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28.04.2021: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color w:val="C2D69B" w:themeColor="accent3" w:themeTint="99"/>
                <w:sz w:val="20"/>
              </w:rPr>
            </w:pPr>
            <w:proofErr w:type="gramStart"/>
            <w:r>
              <w:rPr>
                <w:sz w:val="22"/>
                <w:szCs w:val="22"/>
              </w:rPr>
              <w:t>Zahl  nicht</w:t>
            </w:r>
            <w:proofErr w:type="gramEnd"/>
            <w:r>
              <w:rPr>
                <w:sz w:val="22"/>
                <w:szCs w:val="22"/>
              </w:rPr>
              <w:t>-geimpfte ü80 Jährige</w:t>
            </w:r>
          </w:p>
          <w:p>
            <w:pPr>
              <w:pStyle w:val="Listenabsatz"/>
              <w:spacing w:after="200"/>
              <w:ind w:left="1440"/>
              <w:rPr>
                <w:b/>
                <w:color w:val="C2D69B" w:themeColor="accent3" w:themeTint="99"/>
                <w:sz w:val="20"/>
              </w:rPr>
            </w:pP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 xml:space="preserve">FG33 </w:t>
            </w:r>
            <w:proofErr w:type="spellStart"/>
            <w:r>
              <w:t>Vygen</w:t>
            </w:r>
            <w:proofErr w:type="spellEnd"/>
            <w:r>
              <w:t>-Bonnet</w:t>
            </w:r>
          </w:p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Analysis of </w:t>
            </w:r>
            <w:bookmarkStart w:id="0" w:name="_Hlk70497559"/>
            <w:r>
              <w:rPr>
                <w:lang w:val="en-US"/>
              </w:rPr>
              <w:t xml:space="preserve">international epidemiological data </w:t>
            </w:r>
            <w:bookmarkEnd w:id="0"/>
            <w:r>
              <w:rPr>
                <w:lang w:val="en-US"/>
              </w:rPr>
              <w:t>and response measures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 xml:space="preserve">ZIG/ </w:t>
            </w:r>
            <w:proofErr w:type="spellStart"/>
            <w:r>
              <w:t>Thurid</w:t>
            </w:r>
            <w:proofErr w:type="spellEnd"/>
            <w:r>
              <w:t xml:space="preserve"> Bahr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lang w:val="en-US"/>
              </w:rPr>
              <w:t>Experten Beirat Pandemische Atemwegsinfektionen (29.04.2021)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30.04.2021,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2021-04-26T13:54:00Z</dcterms:created>
  <dcterms:modified xsi:type="dcterms:W3CDTF">2022-12-22T13:19:00Z</dcterms:modified>
</cp:coreProperties>
</file>