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19.05.2021: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 (entschuldigt),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</w:p>
          <w:p>
            <w:pPr>
              <w:pStyle w:val="Listenabsatz"/>
              <w:ind w:left="1440"/>
              <w:rPr>
                <w:i/>
              </w:rPr>
            </w:pPr>
            <w:r>
              <w:rPr>
                <w:sz w:val="20"/>
              </w:rPr>
              <w:t>Diskussion: Wiederaufnahme Disclaimer zu Testzahlen in Lagebericht?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rPr>
                <w:i/>
              </w:rPr>
              <w:t>Kurzvorstellung Modellierung durch Frau Hanefeld</w:t>
            </w: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Vorstellung der überarbeiteten Version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Bericht von </w:t>
            </w:r>
            <w:proofErr w:type="gramStart"/>
            <w:r>
              <w:t>Saale-Orla Kreis</w:t>
            </w:r>
            <w:proofErr w:type="gramEnd"/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Jugendliche und Sportveranstaltungen Sommer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Rexroth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21.05.2021,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35</cp:revision>
  <cp:lastPrinted>2020-03-13T12:00:00Z</cp:lastPrinted>
  <dcterms:created xsi:type="dcterms:W3CDTF">2021-01-01T13:48:00Z</dcterms:created>
  <dcterms:modified xsi:type="dcterms:W3CDTF">2022-12-22T13:22:00Z</dcterms:modified>
</cp:coreProperties>
</file>