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11.06.2021: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Update </w:t>
            </w:r>
            <w:proofErr w:type="spellStart"/>
            <w:r>
              <w:t>SeBluCo</w:t>
            </w:r>
            <w:proofErr w:type="spellEnd"/>
            <w:r>
              <w:t xml:space="preserve">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/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  <w:p>
            <w:r>
              <w:t>FG 34 R. Offergeld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Vorschlag für neue Risikobewertung</w:t>
            </w:r>
          </w:p>
        </w:tc>
        <w:tc>
          <w:tcPr>
            <w:tcW w:w="1809" w:type="dxa"/>
          </w:tcPr>
          <w:p/>
          <w:p>
            <w:r>
              <w:t>Rexroth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lastRenderedPageBreak/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 16.06.2021,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8</cp:revision>
  <cp:lastPrinted>2020-03-13T12:00:00Z</cp:lastPrinted>
  <dcterms:created xsi:type="dcterms:W3CDTF">2021-06-07T07:59:00Z</dcterms:created>
  <dcterms:modified xsi:type="dcterms:W3CDTF">2022-12-22T13:25:00Z</dcterms:modified>
</cp:coreProperties>
</file>