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Änderungen gegenüber der Version vom 01.06.2021: Anpassung im Bereich Risikobewertung (Anpassungen zu der Entwicklung der Fallzahlen, Anpassung der Beschreibung und Bezeichnungen der „VOC“, Anpassung der Einschätzung zum Bereich Reisen, Belastung des Gesundheitswesens und Impfangebote).</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Es handelt sich weltweit, in Europa und in Deutschland um eine ernst zu nehmende Situation. Insgesamt nimmt die Anzahl der Fälle weltweit ab, die Fallzahlen entwickeln sich aber von Staat zu Staat unterschiedlich: Manche Staaten erleben einen Rückgang, andere einen dritten bzw. vierten Anstieg der Fallzahlen. 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 weiter steigt, können viele Menschen, nicht nur aus den Risikogruppen wie älteren Personen und Menschen mit Grunderkrankungen, zuverlässig vor schweren Krankheitsverläufen, intensivmedizinischer Behandlungsnotwendigkeit und Tod geschützt werden.</w:t>
      </w:r>
    </w:p>
    <w:p>
      <w:r>
        <w:t>Nach einem Anstieg der Fälle im 1. Quartal 2021 gehen die 7-Tage-Inzidenzen und Fallzahlen im Bundesgebiet seit Ende April deutlich zurück. Der Rückgang betrifft alle Altersgruppen.</w:t>
      </w:r>
    </w:p>
    <w:p>
      <w:r>
        <w:t>Die COVID-19-Fallzahlen auf Intensivstationen sind seit Ende April wieder rückläufig.</w:t>
      </w:r>
    </w:p>
    <w:p>
      <w:r>
        <w:t>Schwere Erkrankungen an COVID-19, die im Krankenhaus behandelt werden müssen, betreffen aber inzwischen zunehmend Menschen unter 60 Jahren.</w:t>
      </w:r>
    </w:p>
    <w:p>
      <w:r>
        <w:t>In den meisten Kreisen handelt es sich immer noch um ein diffuses Geschehen, sodass oft keine konkrete Infektionsquelle ermittelt werden kann und weiterhin von einer anhaltenden Zirkulation in der Bevölkerung (Community Transmission) ausgegangen werden muss. Neben der Fallfindung und der Nachverfolgung der Kontaktpersonen bleiben daher auch bei niedrigen Fallzahlen die individuellen infektionshygienischen Schutzmaßnahmen weiterhin von herausragender Bedeutung (Kontaktreduktion, AHA + L und bei Krankheitssymptomen zuhause bleiben).</w:t>
      </w:r>
    </w:p>
    <w:p>
      <w:r>
        <w:t>Häufungen werden momentan 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t>Impfpriorisierung</w:t>
      </w:r>
      <w:proofErr w:type="spellEnd"/>
      <w:r>
        <w:t xml:space="preserve"> aufgehoben und es ist wichtig, dass bei zunehmender Verfügbarkeit der Impfstoffe möglichst viele Menschen das Impfangebot in Anspruch nehmen. </w:t>
      </w:r>
    </w:p>
    <w:p>
      <w:r>
        <w:t>Die Therapie schwerer Krankheitsverläufe ist komplex und erst wenige Therapieansätze haben sich in klinischen Studien als wirksam erwiesen.</w:t>
      </w:r>
    </w:p>
    <w:p>
      <w:r>
        <w:t xml:space="preserve">Die Dynamik der Verbreitung einiger Varianten von SARS-CoV-2 (aktuell B.1.1.7 (Alpha), B.1.351 (Beta), P.1 (Gamma) und B.1.617.2 (Delta)) ist besorgniserregend. Diese besorgniserregenden Varianten (VOC) werden in unterschiedlichem Ausmaß auch in Deutschland nachgewiesen; momentan überwiegt die Variante B.1.1.7 (Alpha). Es liegen Daten vor, die auf eine erhöhte Übertragbarkeit der Varianten und potenziell schwerere Krankheitsverläufe hinweisen. Demzufolge kann die Verbreitung neuer Varianten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 (Alpha). </w:t>
      </w:r>
      <w:r>
        <w:t>Der Anteil der besorgniserregenden Variante B.1.617.2 (Delta) nimmt in Deutschland zu.</w:t>
      </w:r>
      <w:r>
        <w:t xml:space="preserve"> Sie ist im Vergleich zu B.1.1.7 (Alpha) noch besser übertragbar und es gibt Hinweise auf eine erhöhte Krankheitsschwere. </w:t>
      </w:r>
      <w:r>
        <w:t xml:space="preserve">Erste Studien weisen </w:t>
      </w:r>
      <w:r>
        <w:t xml:space="preserve">auch </w:t>
      </w:r>
      <w:r>
        <w:t xml:space="preserve">auf eine etwas geringere Schutzwirkung der COVID-19 Impfstoffe gegen die Variante </w:t>
      </w:r>
      <w:r>
        <w:t xml:space="preserve">B.1.617.2 (Delta) </w:t>
      </w:r>
      <w:r>
        <w:t>hin. Die leicht verringerte Schutzwirkung zeigte sich hauptsächlich nach der ersten Impfstoffdosis und in Bezug auf milde Krankheitsverläufe. In Bezug auf die Verhinderung hospitalisierungsbedürftiger COVID-19 Verläufe war der Impfschutz vergleichbar.</w:t>
      </w:r>
    </w:p>
    <w:p>
      <w:r>
        <w:t xml:space="preserve">Das Robert Koch-Institut schätzt die Gefährdung für die Gesundheit der Bevölkerung in Deutschland daher 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t>to</w:t>
      </w:r>
      <w:proofErr w:type="spellEnd"/>
      <w:r>
        <w:t>-face Kontakt, Dauer von Gesprächen und Aerosol-erzeugende Tätigkeiten wie z.B. Singen) eine besondere Rolle. Dies gilt auch bei Kontakten mit Familienangehörigen oder Freunden außerhalb des eigenen Haushalts und im beruflichen Umfeld.</w:t>
      </w:r>
    </w:p>
    <w:p>
      <w:r>
        <w:lastRenderedPageBreak/>
        <w:t>Die VOC, die zuerst im Vereinigten Königreich (B.1.1.7; Alpha), in Südafrika (B.1.351; Beta), in Brasilien (P1; Gamma) und in Indien (B.1.617.2; Delta)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sowie der Impfquote ab. Sie war in weiten Teilen Deutschlands vorübergehend sehr hoch, so 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rPr>
          <w:b/>
          <w:bCs/>
        </w:rPr>
      </w:pPr>
      <w:r>
        <w:rPr>
          <w:b/>
          <w:bCs/>
        </w:rPr>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lastRenderedPageBreak/>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Reisetätigkeit sollte wenn möglich weiterhin eingeschränkt bleiben, da Reisen in der Regel zu mehr Kontakten und möglichen Eintragungen von SARS-CoV-2 führen. Wenn Reisen </w:t>
      </w:r>
      <w:proofErr w:type="gramStart"/>
      <w:r>
        <w:t>stattfinden,  sollten</w:t>
      </w:r>
      <w:proofErr w:type="gramEnd"/>
      <w:r>
        <w:t xml:space="preserve"> unbedingt alle empfohlenen Schutzmaßnahmen eingehalten werden. Als ein zusätzliches Element können </w:t>
      </w:r>
      <w:bookmarkStart w:id="0" w:name="_GoBack"/>
      <w:r>
        <w:t xml:space="preserve">Tests </w:t>
      </w:r>
      <w:bookmarkEnd w:id="0"/>
      <w:r>
        <w:t>die Sicherheit durch frühe Erkennung der Virusausscheidung bevor Krankheitszeichen vorliegen weiter erhöhen. Teste stellen allerdings immer nur eine Momentaufnahme dar, die sich binnen Stunden ändern kann. Teste bieten selbst keinen Schutz vor einer Erkrankung. Darüber hinaus sollte einem gemachten Angebot zur Impfung gegen COVID-19 nachgekommen werden.</w:t>
      </w:r>
    </w:p>
    <w:p>
      <w: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w:t>
      </w:r>
      <w:r>
        <w:lastRenderedPageBreak/>
        <w:t>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6"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8" w:tooltip="COVID-19 (Coronavirus SARS-CoV-2)" w:history="1">
        <w:r>
          <w:rPr>
            <w:rStyle w:val="Hyperlink"/>
          </w:rPr>
          <w:t>www.rki.de/covid-19</w:t>
        </w:r>
      </w:hyperlink>
      <w:r>
        <w:t xml:space="preserve"> zu finden, darunter </w:t>
      </w:r>
      <w:hyperlink r:id="rId9" w:tooltip="Kontaktpersonen-Nachverfolgung bei SARS-CoV-2-Infektionen" w:history="1">
        <w:r>
          <w:rPr>
            <w:rStyle w:val="Hyperlink"/>
          </w:rPr>
          <w:t>Empfehlungen für das Kontaktpersonenmanagement</w:t>
        </w:r>
      </w:hyperlink>
      <w:r>
        <w:t xml:space="preserve"> und </w:t>
      </w:r>
      <w:hyperlink r:id="rId10"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1" w:tgtFrame="_blank" w:tooltip="Externer Link Web-version der App: www.STIKO-web-app.de  (Öffnet neues Fenster)" w:history="1">
        <w:r>
          <w:rPr>
            <w:rStyle w:val="Hyperlink"/>
          </w:rPr>
          <w:t>www.stiko-web-app.de</w:t>
        </w:r>
      </w:hyperlink>
      <w:r>
        <w:t>).</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Stand: 15.06.2021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2AA8FACE643BC3510319A13172E2881D.internet102?nn=13490888" TargetMode="External"/><Relationship Id="rId13" Type="http://schemas.openxmlformats.org/officeDocument/2006/relationships/hyperlink" Target="https://www.corona-schutzimpf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2AA8FACE643BC3510319A13172E2881D.internet10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2AA8FACE643BC3510319A13172E2881D.internet102?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2AA8FACE643BC3510319A13172E2881D.internet102?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2AA8FACE643BC3510319A13172E2881D.internet10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2295</Words>
  <Characters>14459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2021-06-15T10:20:00Z</dcterms:created>
  <dcterms:modified xsi:type="dcterms:W3CDTF">2021-06-15T10:21:00Z</dcterms:modified>
</cp:coreProperties>
</file>