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del w:id="0" w:author="Rexroth, Ute" w:date="2021-06-21T17:02:00Z">
        <w:r>
          <w:rPr>
            <w:rFonts w:ascii="Times New Roman" w:eastAsia="Times New Roman" w:hAnsi="Times New Roman" w:cs="Times New Roman"/>
            <w:i/>
            <w:iCs/>
            <w:sz w:val="24"/>
            <w:szCs w:val="24"/>
            <w:lang w:eastAsia="de-DE"/>
          </w:rPr>
          <w:delText>01</w:delText>
        </w:r>
      </w:del>
      <w:ins w:id="1" w:author="Rexroth, Ute" w:date="2021-06-21T17:02:00Z">
        <w:r>
          <w:rPr>
            <w:rFonts w:ascii="Times New Roman" w:eastAsia="Times New Roman" w:hAnsi="Times New Roman" w:cs="Times New Roman"/>
            <w:i/>
            <w:iCs/>
            <w:sz w:val="24"/>
            <w:szCs w:val="24"/>
            <w:lang w:eastAsia="de-DE"/>
          </w:rPr>
          <w:t>15</w:t>
        </w:r>
      </w:ins>
      <w:r>
        <w:rPr>
          <w:rFonts w:ascii="Times New Roman" w:eastAsia="Times New Roman" w:hAnsi="Times New Roman" w:cs="Times New Roman"/>
          <w:i/>
          <w:iCs/>
          <w:sz w:val="24"/>
          <w:szCs w:val="24"/>
          <w:lang w:eastAsia="de-DE"/>
        </w:rPr>
        <w:t>.06.2021: Anpassung im Bereich Risikobewertung (</w:t>
      </w:r>
      <w:del w:id="2" w:author="Rexroth, Ute" w:date="2021-06-21T17:03:00Z">
        <w:r>
          <w:rPr>
            <w:rFonts w:ascii="Times New Roman" w:eastAsia="Times New Roman" w:hAnsi="Times New Roman" w:cs="Times New Roman"/>
            <w:i/>
            <w:iCs/>
            <w:sz w:val="24"/>
            <w:szCs w:val="24"/>
            <w:lang w:eastAsia="de-DE"/>
          </w:rPr>
          <w:delText>Anpassungen zu der Entwicklung der Fallzahlen, Anpassung der Beschreibung und Bezeichnungen der "VOC", Anpassung der Einschätzung zum Bereich Reisen, Belastung des Gesundheitswesens und Impfangebote</w:delText>
        </w:r>
      </w:del>
      <w:r>
        <w:rPr>
          <w:rFonts w:ascii="Times New Roman" w:eastAsia="Times New Roman" w:hAnsi="Times New Roman" w:cs="Times New Roman"/>
          <w:i/>
          <w:iCs/>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vorliegenden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Es handelt sich weltweit, in Europa und in Deutschland um eine ernst zu nehmende Situation. Insgesamt nimmt die Anzahl der Fälle weltweit ab, die Fallzahlen entwickeln sich aber von Staat zu Staat unterschiedlich</w:t>
      </w:r>
      <w:del w:id="3" w:author="Mankertz, Annette" w:date="2021-06-22T11:54:00Z">
        <w:r>
          <w:rPr>
            <w:rFonts w:ascii="Times New Roman" w:eastAsia="Times New Roman" w:hAnsi="Times New Roman" w:cs="Times New Roman"/>
            <w:sz w:val="24"/>
            <w:szCs w:val="24"/>
            <w:lang w:eastAsia="de-DE"/>
          </w:rPr>
          <w:delText xml:space="preserve">: Manche Staaten erleben einen Rückgang, andere </w:delText>
        </w:r>
        <w:commentRangeStart w:id="4"/>
        <w:r>
          <w:rPr>
            <w:rFonts w:ascii="Times New Roman" w:eastAsia="Times New Roman" w:hAnsi="Times New Roman" w:cs="Times New Roman"/>
            <w:sz w:val="24"/>
            <w:szCs w:val="24"/>
            <w:lang w:eastAsia="de-DE"/>
          </w:rPr>
          <w:delText xml:space="preserve">einen dritten bzw. vierten </w:delText>
        </w:r>
        <w:commentRangeEnd w:id="4"/>
        <w:r>
          <w:rPr>
            <w:rStyle w:val="Kommentarzeichen"/>
          </w:rPr>
          <w:commentReference w:id="4"/>
        </w:r>
        <w:r>
          <w:rPr>
            <w:rFonts w:ascii="Times New Roman" w:eastAsia="Times New Roman" w:hAnsi="Times New Roman" w:cs="Times New Roman"/>
            <w:sz w:val="24"/>
            <w:szCs w:val="24"/>
            <w:lang w:eastAsia="de-DE"/>
          </w:rPr>
          <w:delText>Anstieg der Fallzahlen</w:delText>
        </w:r>
      </w:del>
      <w:r>
        <w:rPr>
          <w:rFonts w:ascii="Times New Roman" w:eastAsia="Times New Roman" w:hAnsi="Times New Roman" w:cs="Times New Roman"/>
          <w:sz w:val="24"/>
          <w:szCs w:val="24"/>
          <w:lang w:eastAsia="de-DE"/>
        </w:rPr>
        <w:t>. In vielen Staaten wurde um die Jahreswende mit der Impfung der Bevölkerung begonnen. Meist wurden zunächst die höheren Altersgruppen geimpft, inzwischen werden vielerorts auch andere Gruppen miteinbezogen.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Nur wenn die Zahl der neu Infizierten insgesamt deutlich sinkt und die Zahl der Geimpften weiter steigt, können viele Menschen, nicht nur aus den Risikogruppen wie ältere Personen und Menschen mit Grunderkrankungen, zuverlässig vor schweren Krankheitsverläufen, intensivmedizinischer Behandlungsnotwendigkeit und Tod geschützt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einem Anstieg der Fälle im 1. Quartal 2021 gehen die 7-Tage-Inzidenzen und Fallzahlen im Bundesgebiet seit Ende April deutlich zurück. Der Rückgang betrifft alle Altersgruppen.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COVID-19-Fallzahlen auf Intensivstationen sind seit Ende April wieder rückläufig.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Schwere Erkrankungen an COVID-19, die im Krankenhaus behandelt werden müssen, betreffen </w:t>
      </w:r>
      <w:del w:id="5" w:author="Rexroth, Ute" w:date="2021-06-21T17:05:00Z">
        <w:r>
          <w:rPr>
            <w:rFonts w:ascii="Times New Roman" w:eastAsia="Times New Roman" w:hAnsi="Times New Roman" w:cs="Times New Roman"/>
            <w:sz w:val="24"/>
            <w:szCs w:val="24"/>
            <w:lang w:eastAsia="de-DE"/>
          </w:rPr>
          <w:delText xml:space="preserve">aber </w:delText>
        </w:r>
      </w:del>
      <w:r>
        <w:rPr>
          <w:rFonts w:ascii="Times New Roman" w:eastAsia="Times New Roman" w:hAnsi="Times New Roman" w:cs="Times New Roman"/>
          <w:sz w:val="24"/>
          <w:szCs w:val="24"/>
          <w:lang w:eastAsia="de-DE"/>
        </w:rPr>
        <w:t>inzwischen zunehmend Menschen unter 60 Jahren.</w:t>
      </w:r>
      <w:ins w:id="6" w:author="Rexroth, Ute" w:date="2021-06-21T17:05:00Z">
        <w:r>
          <w:rPr>
            <w:rFonts w:ascii="Times New Roman" w:eastAsia="Times New Roman" w:hAnsi="Times New Roman" w:cs="Times New Roman"/>
            <w:sz w:val="24"/>
            <w:szCs w:val="24"/>
            <w:lang w:eastAsia="de-DE"/>
          </w:rPr>
          <w:t xml:space="preserve"> Die Anzahl der Todesfälle ist rückläufig. </w:t>
        </w:r>
      </w:ins>
    </w:p>
    <w:p>
      <w:pPr>
        <w:spacing w:before="100" w:beforeAutospacing="1" w:after="100" w:afterAutospacing="1" w:line="240" w:lineRule="auto"/>
        <w:rPr>
          <w:rFonts w:ascii="Times New Roman" w:eastAsia="Times New Roman" w:hAnsi="Times New Roman" w:cs="Times New Roman"/>
          <w:sz w:val="24"/>
          <w:szCs w:val="24"/>
          <w:lang w:eastAsia="de-DE"/>
        </w:rPr>
      </w:pPr>
      <w:moveToRangeStart w:id="7" w:author="Mankertz, Annette" w:date="2021-06-22T11:56:00Z" w:name="move75255378"/>
      <w:moveTo w:id="8" w:author="Mankertz, Annette" w:date="2021-06-22T11:56:00Z">
        <w:r>
          <w:rPr>
            <w:rFonts w:ascii="Times New Roman" w:eastAsia="Times New Roman" w:hAnsi="Times New Roman" w:cs="Times New Roman"/>
            <w:sz w:val="24"/>
            <w:szCs w:val="24"/>
            <w:lang w:eastAsia="de-DE"/>
          </w:rPr>
          <w:t xml:space="preserve">Ausbrüche treten weiterhin auf. </w:t>
        </w:r>
      </w:moveTo>
      <w:moveToRangeEnd w:id="7"/>
      <w:commentRangeStart w:id="9"/>
      <w:ins w:id="10" w:author="Rexroth, Ute" w:date="2021-06-21T17:06:00Z">
        <w:r>
          <w:rPr>
            <w:rFonts w:ascii="Times New Roman" w:eastAsia="Times New Roman" w:hAnsi="Times New Roman" w:cs="Times New Roman"/>
            <w:sz w:val="24"/>
            <w:szCs w:val="24"/>
            <w:lang w:eastAsia="de-DE"/>
          </w:rPr>
          <w:t xml:space="preserve">Es lassen sich </w:t>
        </w:r>
      </w:ins>
      <w:ins w:id="11" w:author="Mankertz, Annette" w:date="2021-06-22T11:56:00Z">
        <w:r>
          <w:rPr>
            <w:rFonts w:ascii="Times New Roman" w:eastAsia="Times New Roman" w:hAnsi="Times New Roman" w:cs="Times New Roman"/>
            <w:sz w:val="24"/>
            <w:szCs w:val="24"/>
            <w:lang w:eastAsia="de-DE"/>
          </w:rPr>
          <w:t xml:space="preserve">aber </w:t>
        </w:r>
      </w:ins>
      <w:ins w:id="12" w:author="Rexroth, Ute" w:date="2021-06-21T17:06:00Z">
        <w:r>
          <w:rPr>
            <w:rFonts w:ascii="Times New Roman" w:eastAsia="Times New Roman" w:hAnsi="Times New Roman" w:cs="Times New Roman"/>
            <w:sz w:val="24"/>
            <w:szCs w:val="24"/>
            <w:lang w:eastAsia="de-DE"/>
          </w:rPr>
          <w:t xml:space="preserve">wieder mehr Infektionsketten nachvollziehen. </w:t>
        </w:r>
      </w:ins>
      <w:del w:id="13" w:author="Rexroth, Ute" w:date="2021-06-21T17:06:00Z">
        <w:r>
          <w:rPr>
            <w:rFonts w:ascii="Times New Roman" w:eastAsia="Times New Roman" w:hAnsi="Times New Roman" w:cs="Times New Roman"/>
            <w:sz w:val="24"/>
            <w:szCs w:val="24"/>
            <w:lang w:eastAsia="de-DE"/>
          </w:rPr>
          <w:delText xml:space="preserve">In </w:delText>
        </w:r>
      </w:del>
      <w:commentRangeEnd w:id="9"/>
      <w:r>
        <w:rPr>
          <w:rStyle w:val="Kommentarzeichen"/>
        </w:rPr>
        <w:commentReference w:id="9"/>
      </w:r>
      <w:del w:id="14" w:author="Rexroth, Ute" w:date="2021-06-21T17:06:00Z">
        <w:r>
          <w:rPr>
            <w:rFonts w:ascii="Times New Roman" w:eastAsia="Times New Roman" w:hAnsi="Times New Roman" w:cs="Times New Roman"/>
            <w:sz w:val="24"/>
            <w:szCs w:val="24"/>
            <w:lang w:eastAsia="de-DE"/>
          </w:rPr>
          <w:delText>den meisten Kreisen handelt es sich immer noch um ein diffuses Geschehen, sodass oft keine konkrete Infektionsquelle ermittelt werden kann und weiterhin von einer anhaltenden Zirkulation in der Bevölkerung (Community Transmission) ausgegangen werden muss</w:delText>
        </w:r>
      </w:del>
      <w:r>
        <w:rPr>
          <w:rFonts w:ascii="Times New Roman" w:eastAsia="Times New Roman" w:hAnsi="Times New Roman" w:cs="Times New Roman"/>
          <w:sz w:val="24"/>
          <w:szCs w:val="24"/>
          <w:lang w:eastAsia="de-DE"/>
        </w:rPr>
        <w:t xml:space="preserve">. </w:t>
      </w:r>
      <w:moveFromRangeStart w:id="15" w:author="Mankertz, Annette" w:date="2021-06-22T11:56:00Z" w:name="move75255378"/>
      <w:moveFrom w:id="16" w:author="Mankertz, Annette" w:date="2021-06-22T11:56:00Z">
        <w:ins w:id="17" w:author="Rexroth, Ute" w:date="2021-06-21T17:08:00Z">
          <w:r>
            <w:rPr>
              <w:rFonts w:ascii="Times New Roman" w:eastAsia="Times New Roman" w:hAnsi="Times New Roman" w:cs="Times New Roman"/>
              <w:sz w:val="24"/>
              <w:szCs w:val="24"/>
              <w:lang w:eastAsia="de-DE"/>
            </w:rPr>
            <w:t xml:space="preserve">Ausbrüche treten weiterhin auf. </w:t>
          </w:r>
        </w:ins>
      </w:moveFrom>
      <w:moveFromRangeEnd w:id="15"/>
      <w:commentRangeStart w:id="18"/>
      <w:r>
        <w:rPr>
          <w:rFonts w:ascii="Times New Roman" w:eastAsia="Times New Roman" w:hAnsi="Times New Roman" w:cs="Times New Roman"/>
          <w:sz w:val="24"/>
          <w:szCs w:val="24"/>
          <w:lang w:eastAsia="de-DE"/>
        </w:rPr>
        <w:t>Neben der Fallfindung und der Nachverfolgung der Kontaktpersonen bleiben daher auch bei niedrigen Fallzahlen die individuellen infektionshygienischen Schutzmaßnahmen weiterhin von herausragender Bedeutung (Kontaktreduktion, AHA + L und bei Krankheitssymptomen zuhause bleiben).</w:t>
      </w:r>
      <w:commentRangeEnd w:id="18"/>
      <w:r>
        <w:rPr>
          <w:rStyle w:val="Kommentarzeichen"/>
        </w:rPr>
        <w:commentReference w:id="18"/>
      </w:r>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19"/>
      <w:r>
        <w:rPr>
          <w:rFonts w:ascii="Times New Roman" w:eastAsia="Times New Roman" w:hAnsi="Times New Roman" w:cs="Times New Roman"/>
          <w:sz w:val="24"/>
          <w:szCs w:val="24"/>
          <w:lang w:eastAsia="de-DE"/>
        </w:rPr>
        <w:t xml:space="preserve">Häufungen werden momentan vor allem in Privathaushalten, in Kitas und Schulen sowie dem beruflichen Umfeld einschließlich der Kontakte unter der Belegschaft beobachtet. </w:t>
      </w:r>
      <w:commentRangeEnd w:id="19"/>
      <w:r>
        <w:rPr>
          <w:rStyle w:val="Kommentarzeichen"/>
        </w:rPr>
        <w:commentReference w:id="19"/>
      </w:r>
      <w:r>
        <w:rPr>
          <w:rFonts w:ascii="Times New Roman" w:eastAsia="Times New Roman" w:hAnsi="Times New Roman" w:cs="Times New Roman"/>
          <w:sz w:val="24"/>
          <w:szCs w:val="24"/>
          <w:lang w:eastAsia="de-DE"/>
        </w:rPr>
        <w:t xml:space="preserve">Die Zahl </w:t>
      </w:r>
      <w:r>
        <w:rPr>
          <w:rFonts w:ascii="Times New Roman" w:eastAsia="Times New Roman" w:hAnsi="Times New Roman" w:cs="Times New Roman"/>
          <w:sz w:val="24"/>
          <w:szCs w:val="24"/>
          <w:lang w:eastAsia="de-DE"/>
        </w:rPr>
        <w:lastRenderedPageBreak/>
        <w:t>von COVID-19-bedingten Ausbrüchen in Alten- und Pflegeheimen und Krankenhäusern ist insbesondere aufgrund der fortschreitenden Durchimpfung deutlich zurückgegangen.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die Senkung der Neuinfektionen, den Schutz der Risikogruppen und die Minimierung von schweren Erkrankungen ist die Impfung der Bevölkerung von zentraler Bedeutung. Effektive und sichere Impfstoffe sind seit Ende 2020 zugelassen. Da zunächst noch nicht in ausreichenden Mengen für die gesamte Bevölkerung Impfstoff zur Verfügung stand, wurden die Impfdosen zunächst vorrangig den besonders gefährdeten und priorisierten Gruppen angeboten. Inzwischen wurde die </w:t>
      </w:r>
      <w:proofErr w:type="spellStart"/>
      <w:r>
        <w:rPr>
          <w:rFonts w:ascii="Times New Roman" w:eastAsia="Times New Roman" w:hAnsi="Times New Roman" w:cs="Times New Roman"/>
          <w:sz w:val="24"/>
          <w:szCs w:val="24"/>
          <w:lang w:eastAsia="de-DE"/>
        </w:rPr>
        <w:t>Impfpriorisierung</w:t>
      </w:r>
      <w:proofErr w:type="spellEnd"/>
      <w:r>
        <w:rPr>
          <w:rFonts w:ascii="Times New Roman" w:eastAsia="Times New Roman" w:hAnsi="Times New Roman" w:cs="Times New Roman"/>
          <w:sz w:val="24"/>
          <w:szCs w:val="24"/>
          <w:lang w:eastAsia="de-DE"/>
        </w:rPr>
        <w:t xml:space="preserve"> aufgehoben</w:t>
      </w:r>
      <w:ins w:id="20" w:author="Mankertz, Annette" w:date="2021-06-22T11:57: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w:t>
      </w:r>
      <w:del w:id="21" w:author="Mankertz, Annette" w:date="2021-06-22T11:57:00Z">
        <w:r>
          <w:rPr>
            <w:rFonts w:ascii="Times New Roman" w:eastAsia="Times New Roman" w:hAnsi="Times New Roman" w:cs="Times New Roman"/>
            <w:sz w:val="24"/>
            <w:szCs w:val="24"/>
            <w:lang w:eastAsia="de-DE"/>
          </w:rPr>
          <w:delText xml:space="preserve">und </w:delText>
        </w:r>
      </w:del>
      <w:r>
        <w:rPr>
          <w:rFonts w:ascii="Times New Roman" w:eastAsia="Times New Roman" w:hAnsi="Times New Roman" w:cs="Times New Roman"/>
          <w:sz w:val="24"/>
          <w:szCs w:val="24"/>
          <w:lang w:eastAsia="de-DE"/>
        </w:rPr>
        <w:t xml:space="preserve">es ist wichtig, dass bei zunehmender Verfügbarkeit der Impfstoffe möglichst viele Menschen das Impfangebot in Anspruch nehmen.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Therapie schwerer Krankheitsverläufe ist komplex und erst wenige Therapieansätze haben sich in klinischen Studien als wirksam </w:t>
      </w:r>
      <w:commentRangeStart w:id="22"/>
      <w:r>
        <w:rPr>
          <w:rFonts w:ascii="Times New Roman" w:eastAsia="Times New Roman" w:hAnsi="Times New Roman" w:cs="Times New Roman"/>
          <w:sz w:val="24"/>
          <w:szCs w:val="24"/>
          <w:lang w:eastAsia="de-DE"/>
        </w:rPr>
        <w:t>erwiesen.</w:t>
      </w:r>
      <w:commentRangeEnd w:id="22"/>
      <w:r>
        <w:rPr>
          <w:rStyle w:val="Kommentarzeichen"/>
        </w:rPr>
        <w:commentReference w:id="22"/>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Dynamik der Verbreitung einiger Varianten von SARS-CoV-2 (aktuell B.1.1.7 (</w:t>
      </w:r>
      <w:commentRangeStart w:id="23"/>
      <w:r>
        <w:rPr>
          <w:rFonts w:ascii="Times New Roman" w:eastAsia="Times New Roman" w:hAnsi="Times New Roman" w:cs="Times New Roman"/>
          <w:sz w:val="24"/>
          <w:szCs w:val="24"/>
          <w:lang w:eastAsia="de-DE"/>
        </w:rPr>
        <w:t>Alpha</w:t>
      </w:r>
      <w:commentRangeEnd w:id="23"/>
      <w:r>
        <w:rPr>
          <w:rStyle w:val="Kommentarzeichen"/>
        </w:rPr>
        <w:commentReference w:id="23"/>
      </w:r>
      <w:r>
        <w:rPr>
          <w:rFonts w:ascii="Times New Roman" w:eastAsia="Times New Roman" w:hAnsi="Times New Roman" w:cs="Times New Roman"/>
          <w:sz w:val="24"/>
          <w:szCs w:val="24"/>
          <w:lang w:eastAsia="de-DE"/>
        </w:rPr>
        <w:t>), B.1.351 (Beta), P.1 (Gamma) und B.1.617.2 (Delta))</w:t>
      </w:r>
      <w:ins w:id="24" w:author="Arvand, Mardjan" w:date="2021-06-22T15:58:00Z">
        <w:r>
          <w:rPr>
            <w:rFonts w:ascii="Times New Roman" w:eastAsia="Times New Roman" w:hAnsi="Times New Roman" w:cs="Times New Roman"/>
            <w:sz w:val="24"/>
            <w:szCs w:val="24"/>
            <w:lang w:eastAsia="de-DE"/>
          </w:rPr>
          <w:t>, die als besorgniserreg</w:t>
        </w:r>
      </w:ins>
      <w:ins w:id="25" w:author="Arvand, Mardjan" w:date="2021-06-22T15:59:00Z">
        <w:r>
          <w:rPr>
            <w:rFonts w:ascii="Times New Roman" w:eastAsia="Times New Roman" w:hAnsi="Times New Roman" w:cs="Times New Roman"/>
            <w:sz w:val="24"/>
            <w:szCs w:val="24"/>
            <w:lang w:eastAsia="de-DE"/>
          </w:rPr>
          <w:t>ende Varianten bezeichnet werden,</w:t>
        </w:r>
      </w:ins>
      <w:r>
        <w:rPr>
          <w:rFonts w:ascii="Times New Roman" w:eastAsia="Times New Roman" w:hAnsi="Times New Roman" w:cs="Times New Roman"/>
          <w:sz w:val="24"/>
          <w:szCs w:val="24"/>
          <w:lang w:eastAsia="de-DE"/>
        </w:rPr>
        <w:t xml:space="preserve"> </w:t>
      </w:r>
      <w:del w:id="26" w:author="Mankertz, Annette" w:date="2021-06-22T11:58:00Z">
        <w:r>
          <w:rPr>
            <w:rFonts w:ascii="Times New Roman" w:eastAsia="Times New Roman" w:hAnsi="Times New Roman" w:cs="Times New Roman"/>
            <w:sz w:val="24"/>
            <w:szCs w:val="24"/>
            <w:lang w:eastAsia="de-DE"/>
          </w:rPr>
          <w:delText>ist besorgniserregend</w:delText>
        </w:r>
      </w:del>
      <w:ins w:id="27" w:author="Mankertz, Annette" w:date="2021-06-22T11:58:00Z">
        <w:del w:id="28" w:author="Arvand, Mardjan" w:date="2021-06-22T16:00:00Z">
          <w:r>
            <w:rPr>
              <w:rFonts w:ascii="Times New Roman" w:eastAsia="Times New Roman" w:hAnsi="Times New Roman" w:cs="Times New Roman"/>
              <w:sz w:val="24"/>
              <w:szCs w:val="24"/>
              <w:lang w:eastAsia="de-DE"/>
            </w:rPr>
            <w:delText>wird</w:delText>
          </w:r>
        </w:del>
        <w:r>
          <w:rPr>
            <w:rFonts w:ascii="Times New Roman" w:eastAsia="Times New Roman" w:hAnsi="Times New Roman" w:cs="Times New Roman"/>
            <w:sz w:val="24"/>
            <w:szCs w:val="24"/>
            <w:lang w:eastAsia="de-DE"/>
          </w:rPr>
          <w:t xml:space="preserve"> </w:t>
        </w:r>
      </w:ins>
      <w:ins w:id="29" w:author="Arvand, Mardjan" w:date="2021-06-22T16:17:00Z">
        <w:r>
          <w:rPr>
            <w:rFonts w:ascii="Times New Roman" w:eastAsia="Times New Roman" w:hAnsi="Times New Roman" w:cs="Times New Roman"/>
            <w:sz w:val="24"/>
            <w:szCs w:val="24"/>
            <w:lang w:eastAsia="de-DE"/>
          </w:rPr>
          <w:t xml:space="preserve">wird </w:t>
        </w:r>
      </w:ins>
      <w:ins w:id="30" w:author="Arvand, Mardjan" w:date="2021-06-22T15:59:00Z">
        <w:r>
          <w:rPr>
            <w:rFonts w:ascii="Times New Roman" w:eastAsia="Times New Roman" w:hAnsi="Times New Roman" w:cs="Times New Roman"/>
            <w:sz w:val="24"/>
            <w:szCs w:val="24"/>
            <w:lang w:eastAsia="de-DE"/>
          </w:rPr>
          <w:t xml:space="preserve">in Deutschland systematisch </w:t>
        </w:r>
      </w:ins>
      <w:ins w:id="31" w:author="Mankertz, Annette" w:date="2021-06-22T11:58:00Z">
        <w:del w:id="32" w:author="Arvand, Mardjan" w:date="2021-06-22T15:59:00Z">
          <w:r>
            <w:rPr>
              <w:rFonts w:ascii="Times New Roman" w:eastAsia="Times New Roman" w:hAnsi="Times New Roman" w:cs="Times New Roman"/>
              <w:sz w:val="24"/>
              <w:szCs w:val="24"/>
              <w:lang w:eastAsia="de-DE"/>
            </w:rPr>
            <w:delText>beobachtet</w:delText>
          </w:r>
        </w:del>
      </w:ins>
      <w:ins w:id="33" w:author="Arvand, Mardjan" w:date="2021-06-22T15:59:00Z">
        <w:r>
          <w:rPr>
            <w:rFonts w:ascii="Times New Roman" w:eastAsia="Times New Roman" w:hAnsi="Times New Roman" w:cs="Times New Roman"/>
            <w:sz w:val="24"/>
            <w:szCs w:val="24"/>
            <w:lang w:eastAsia="de-DE"/>
          </w:rPr>
          <w:t>analysi</w:t>
        </w:r>
      </w:ins>
      <w:ins w:id="34" w:author="Arvand, Mardjan" w:date="2021-06-22T16:00:00Z">
        <w:r>
          <w:rPr>
            <w:rFonts w:ascii="Times New Roman" w:eastAsia="Times New Roman" w:hAnsi="Times New Roman" w:cs="Times New Roman"/>
            <w:sz w:val="24"/>
            <w:szCs w:val="24"/>
            <w:lang w:eastAsia="de-DE"/>
          </w:rPr>
          <w:t>ert</w:t>
        </w:r>
      </w:ins>
      <w:r>
        <w:rPr>
          <w:rFonts w:ascii="Times New Roman" w:eastAsia="Times New Roman" w:hAnsi="Times New Roman" w:cs="Times New Roman"/>
          <w:sz w:val="24"/>
          <w:szCs w:val="24"/>
          <w:lang w:eastAsia="de-DE"/>
        </w:rPr>
        <w:t xml:space="preserve">. </w:t>
      </w:r>
      <w:del w:id="35" w:author="Arvand, Mardjan" w:date="2021-06-22T16:00:00Z">
        <w:r>
          <w:rPr>
            <w:rFonts w:ascii="Times New Roman" w:eastAsia="Times New Roman" w:hAnsi="Times New Roman" w:cs="Times New Roman"/>
            <w:sz w:val="24"/>
            <w:szCs w:val="24"/>
            <w:lang w:eastAsia="de-DE"/>
          </w:rPr>
          <w:delText xml:space="preserve">Diese </w:delText>
        </w:r>
      </w:del>
      <w:ins w:id="36" w:author="Arvand, Mardjan" w:date="2021-06-22T16:00:00Z">
        <w:r>
          <w:rPr>
            <w:rFonts w:ascii="Times New Roman" w:eastAsia="Times New Roman" w:hAnsi="Times New Roman" w:cs="Times New Roman"/>
            <w:sz w:val="24"/>
            <w:szCs w:val="24"/>
            <w:lang w:eastAsia="de-DE"/>
          </w:rPr>
          <w:t xml:space="preserve">Manche </w:t>
        </w:r>
      </w:ins>
      <w:r>
        <w:rPr>
          <w:rFonts w:ascii="Times New Roman" w:eastAsia="Times New Roman" w:hAnsi="Times New Roman" w:cs="Times New Roman"/>
          <w:sz w:val="24"/>
          <w:szCs w:val="24"/>
          <w:lang w:eastAsia="de-DE"/>
        </w:rPr>
        <w:t>besorgniserregenden Varianten (VOC) werden in unterschiedlichem Ausmaß auch in Deutschland nachgewiesen</w:t>
      </w:r>
      <w:ins w:id="37" w:author="Mankertz, Annette" w:date="2021-06-22T11:58:00Z">
        <w:r>
          <w:rPr>
            <w:rFonts w:ascii="Times New Roman" w:eastAsia="Times New Roman" w:hAnsi="Times New Roman" w:cs="Times New Roman"/>
            <w:sz w:val="24"/>
            <w:szCs w:val="24"/>
            <w:lang w:eastAsia="de-DE"/>
          </w:rPr>
          <w:t>: M</w:t>
        </w:r>
      </w:ins>
      <w:del w:id="38" w:author="Mankertz, Annette" w:date="2021-06-22T11:58:00Z">
        <w:r>
          <w:rPr>
            <w:rFonts w:ascii="Times New Roman" w:eastAsia="Times New Roman" w:hAnsi="Times New Roman" w:cs="Times New Roman"/>
            <w:sz w:val="24"/>
            <w:szCs w:val="24"/>
            <w:lang w:eastAsia="de-DE"/>
          </w:rPr>
          <w:delText>; m</w:delText>
        </w:r>
      </w:del>
      <w:r>
        <w:rPr>
          <w:rFonts w:ascii="Times New Roman" w:eastAsia="Times New Roman" w:hAnsi="Times New Roman" w:cs="Times New Roman"/>
          <w:sz w:val="24"/>
          <w:szCs w:val="24"/>
          <w:lang w:eastAsia="de-DE"/>
        </w:rPr>
        <w:t>omentan überwiegt die Variante B.1.1.7 (Alpha)</w:t>
      </w:r>
      <w:ins w:id="39" w:author="Mankertz, Annette" w:date="2021-06-22T11:58:00Z">
        <w:r>
          <w:rPr>
            <w:rFonts w:ascii="Times New Roman" w:eastAsia="Times New Roman" w:hAnsi="Times New Roman" w:cs="Times New Roman"/>
            <w:sz w:val="24"/>
            <w:szCs w:val="24"/>
            <w:lang w:eastAsia="de-DE"/>
          </w:rPr>
          <w:t xml:space="preserve">, die </w:t>
        </w:r>
      </w:ins>
      <w:commentRangeStart w:id="40"/>
      <w:ins w:id="41" w:author="Mankertz, Annette" w:date="2021-06-22T11:59:00Z">
        <w:r>
          <w:rPr>
            <w:rFonts w:ascii="Times New Roman" w:eastAsia="Times New Roman" w:hAnsi="Times New Roman" w:cs="Times New Roman"/>
            <w:sz w:val="24"/>
            <w:szCs w:val="24"/>
            <w:lang w:eastAsia="de-DE"/>
          </w:rPr>
          <w:t>Nachweise</w:t>
        </w:r>
      </w:ins>
      <w:commentRangeEnd w:id="40"/>
      <w:r>
        <w:rPr>
          <w:rStyle w:val="Kommentarzeichen"/>
        </w:rPr>
        <w:commentReference w:id="40"/>
      </w:r>
      <w:ins w:id="42" w:author="Mankertz, Annette" w:date="2021-06-22T11:59:00Z">
        <w:r>
          <w:rPr>
            <w:rFonts w:ascii="Times New Roman" w:eastAsia="Times New Roman" w:hAnsi="Times New Roman" w:cs="Times New Roman"/>
            <w:sz w:val="24"/>
            <w:szCs w:val="24"/>
            <w:lang w:eastAsia="de-DE"/>
          </w:rPr>
          <w:t xml:space="preserve"> der </w:t>
        </w:r>
      </w:ins>
      <w:ins w:id="43" w:author="Mankertz, Annette" w:date="2021-06-22T11:58:00Z">
        <w:r>
          <w:rPr>
            <w:rFonts w:ascii="Times New Roman" w:eastAsia="Times New Roman" w:hAnsi="Times New Roman" w:cs="Times New Roman"/>
            <w:sz w:val="24"/>
            <w:szCs w:val="24"/>
            <w:lang w:eastAsia="de-DE"/>
          </w:rPr>
          <w:t xml:space="preserve">Variante Delta </w:t>
        </w:r>
      </w:ins>
      <w:ins w:id="44" w:author="Mankertz, Annette" w:date="2021-06-22T11:59:00Z">
        <w:r>
          <w:rPr>
            <w:rFonts w:ascii="Times New Roman" w:eastAsia="Times New Roman" w:hAnsi="Times New Roman" w:cs="Times New Roman"/>
            <w:sz w:val="24"/>
            <w:szCs w:val="24"/>
            <w:lang w:eastAsia="de-DE"/>
          </w:rPr>
          <w:t>nehmen zu</w:t>
        </w:r>
      </w:ins>
      <w:r>
        <w:rPr>
          <w:rFonts w:ascii="Times New Roman" w:eastAsia="Times New Roman" w:hAnsi="Times New Roman" w:cs="Times New Roman"/>
          <w:sz w:val="24"/>
          <w:szCs w:val="24"/>
          <w:lang w:eastAsia="de-DE"/>
        </w:rPr>
        <w:t xml:space="preserve">. Es liegen Daten vor, die auf eine erhöhte Übertragbarkeit der Varianten und potenziell schwerere Krankheitsverläufe hinweisen. Demzufolge kann die Verbreitung neuer Varianten zu einer schnellen Zunahme der Fallzahlen und der Verschlechterung der Lage beitragen. Alle Impfstoffe, die aktuell in Deutschland zur Verfügung stehen, schützen nach derzeitigen Erkenntnissen vor einer Erkrankung durch die in Deutschland hauptsächlich zirkulierende Variante B.1.1.7 (Alpha). </w:t>
      </w:r>
      <w:del w:id="45" w:author="Mankertz, Annette" w:date="2021-06-22T11:59:00Z">
        <w:r>
          <w:rPr>
            <w:rFonts w:ascii="Times New Roman" w:eastAsia="Times New Roman" w:hAnsi="Times New Roman" w:cs="Times New Roman"/>
            <w:sz w:val="24"/>
            <w:szCs w:val="24"/>
            <w:lang w:eastAsia="de-DE"/>
          </w:rPr>
          <w:delText>Der Anteil der</w:delText>
        </w:r>
      </w:del>
      <w:ins w:id="46" w:author="Mankertz, Annette" w:date="2021-06-22T11:59:00Z">
        <w:r>
          <w:rPr>
            <w:rFonts w:ascii="Times New Roman" w:eastAsia="Times New Roman" w:hAnsi="Times New Roman" w:cs="Times New Roman"/>
            <w:sz w:val="24"/>
            <w:szCs w:val="24"/>
            <w:lang w:eastAsia="de-DE"/>
          </w:rPr>
          <w:t>Die</w:t>
        </w:r>
      </w:ins>
      <w:r>
        <w:rPr>
          <w:rFonts w:ascii="Times New Roman" w:eastAsia="Times New Roman" w:hAnsi="Times New Roman" w:cs="Times New Roman"/>
          <w:sz w:val="24"/>
          <w:szCs w:val="24"/>
          <w:lang w:eastAsia="de-DE"/>
        </w:rPr>
        <w:t xml:space="preserve"> besorgniserregende</w:t>
      </w:r>
      <w:del w:id="47" w:author="Mankertz, Annette" w:date="2021-06-22T11:59: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Variante B.1.617.2 (Delta) </w:t>
      </w:r>
      <w:del w:id="48" w:author="Mankertz, Annette" w:date="2021-06-22T11:59:00Z">
        <w:r>
          <w:rPr>
            <w:rFonts w:ascii="Times New Roman" w:eastAsia="Times New Roman" w:hAnsi="Times New Roman" w:cs="Times New Roman"/>
            <w:sz w:val="24"/>
            <w:szCs w:val="24"/>
            <w:lang w:eastAsia="de-DE"/>
          </w:rPr>
          <w:delText xml:space="preserve">nimmt in Deutschland zu. Sie </w:delText>
        </w:r>
      </w:del>
      <w:r>
        <w:rPr>
          <w:rFonts w:ascii="Times New Roman" w:eastAsia="Times New Roman" w:hAnsi="Times New Roman" w:cs="Times New Roman"/>
          <w:sz w:val="24"/>
          <w:szCs w:val="24"/>
          <w:lang w:eastAsia="de-DE"/>
        </w:rPr>
        <w:t xml:space="preserve">ist im Vergleich zu B.1.1.7 (Alpha) </w:t>
      </w:r>
      <w:del w:id="49" w:author="Mankertz, Annette" w:date="2021-06-22T12:02:00Z">
        <w:r>
          <w:rPr>
            <w:rFonts w:ascii="Times New Roman" w:eastAsia="Times New Roman" w:hAnsi="Times New Roman" w:cs="Times New Roman"/>
            <w:sz w:val="24"/>
            <w:szCs w:val="24"/>
            <w:lang w:eastAsia="de-DE"/>
          </w:rPr>
          <w:delText xml:space="preserve">noch </w:delText>
        </w:r>
      </w:del>
      <w:r>
        <w:rPr>
          <w:rFonts w:ascii="Times New Roman" w:eastAsia="Times New Roman" w:hAnsi="Times New Roman" w:cs="Times New Roman"/>
          <w:sz w:val="24"/>
          <w:szCs w:val="24"/>
          <w:lang w:eastAsia="de-DE"/>
        </w:rPr>
        <w:t xml:space="preserve">besser übertragbar und es gibt Hinweise auf eine erhöhte Krankheitsschwere. Erste Studien weisen </w:t>
      </w:r>
      <w:del w:id="50" w:author="Mankertz, Annette" w:date="2021-06-22T12:02:00Z">
        <w:r>
          <w:rPr>
            <w:rFonts w:ascii="Times New Roman" w:eastAsia="Times New Roman" w:hAnsi="Times New Roman" w:cs="Times New Roman"/>
            <w:sz w:val="24"/>
            <w:szCs w:val="24"/>
            <w:lang w:eastAsia="de-DE"/>
          </w:rPr>
          <w:delText xml:space="preserve">auch </w:delText>
        </w:r>
      </w:del>
      <w:r>
        <w:rPr>
          <w:rFonts w:ascii="Times New Roman" w:eastAsia="Times New Roman" w:hAnsi="Times New Roman" w:cs="Times New Roman"/>
          <w:sz w:val="24"/>
          <w:szCs w:val="24"/>
          <w:lang w:eastAsia="de-DE"/>
        </w:rPr>
        <w:t xml:space="preserve">auf eine </w:t>
      </w:r>
      <w:del w:id="51" w:author="Mankertz, Annette" w:date="2021-06-22T12:02:00Z">
        <w:r>
          <w:rPr>
            <w:rFonts w:ascii="Times New Roman" w:eastAsia="Times New Roman" w:hAnsi="Times New Roman" w:cs="Times New Roman"/>
            <w:sz w:val="24"/>
            <w:szCs w:val="24"/>
            <w:lang w:eastAsia="de-DE"/>
          </w:rPr>
          <w:delText xml:space="preserve">etwas </w:delText>
        </w:r>
      </w:del>
      <w:ins w:id="52" w:author="Arvand, Mardjan" w:date="2021-06-22T16:04:00Z">
        <w:r>
          <w:rPr>
            <w:rFonts w:ascii="Times New Roman" w:eastAsia="Times New Roman" w:hAnsi="Times New Roman" w:cs="Times New Roman"/>
            <w:sz w:val="24"/>
            <w:szCs w:val="24"/>
            <w:lang w:eastAsia="de-DE"/>
          </w:rPr>
          <w:t xml:space="preserve">evtl. </w:t>
        </w:r>
      </w:ins>
      <w:r>
        <w:rPr>
          <w:rFonts w:ascii="Times New Roman" w:eastAsia="Times New Roman" w:hAnsi="Times New Roman" w:cs="Times New Roman"/>
          <w:sz w:val="24"/>
          <w:szCs w:val="24"/>
          <w:lang w:eastAsia="de-DE"/>
        </w:rPr>
        <w:t xml:space="preserve">geringere Schutzwirkung </w:t>
      </w:r>
      <w:commentRangeStart w:id="53"/>
      <w:r>
        <w:rPr>
          <w:rFonts w:ascii="Times New Roman" w:eastAsia="Times New Roman" w:hAnsi="Times New Roman" w:cs="Times New Roman"/>
          <w:sz w:val="24"/>
          <w:szCs w:val="24"/>
          <w:lang w:eastAsia="de-DE"/>
        </w:rPr>
        <w:t xml:space="preserve">der </w:t>
      </w:r>
      <w:commentRangeEnd w:id="53"/>
      <w:r>
        <w:rPr>
          <w:rStyle w:val="Kommentarzeichen"/>
        </w:rPr>
        <w:commentReference w:id="53"/>
      </w:r>
      <w:r>
        <w:rPr>
          <w:rFonts w:ascii="Times New Roman" w:eastAsia="Times New Roman" w:hAnsi="Times New Roman" w:cs="Times New Roman"/>
          <w:sz w:val="24"/>
          <w:szCs w:val="24"/>
          <w:lang w:eastAsia="de-DE"/>
        </w:rPr>
        <w:t xml:space="preserve">COVID-19-Impfstoffe gegen die Variante B.1.617.2 (Delta) hin. Die leicht verringerte Schutzwirkung zeigte sich hauptsächlich nach </w:t>
      </w:r>
      <w:ins w:id="54" w:author="Mankertz, Annette" w:date="2021-06-22T12:02:00Z">
        <w:r>
          <w:rPr>
            <w:rFonts w:ascii="Times New Roman" w:eastAsia="Times New Roman" w:hAnsi="Times New Roman" w:cs="Times New Roman"/>
            <w:sz w:val="24"/>
            <w:szCs w:val="24"/>
            <w:lang w:eastAsia="de-DE"/>
          </w:rPr>
          <w:t>Er</w:t>
        </w:r>
      </w:ins>
      <w:ins w:id="55" w:author="Mankertz, Annette" w:date="2021-06-22T12:03:00Z">
        <w:r>
          <w:rPr>
            <w:rFonts w:ascii="Times New Roman" w:eastAsia="Times New Roman" w:hAnsi="Times New Roman" w:cs="Times New Roman"/>
            <w:sz w:val="24"/>
            <w:szCs w:val="24"/>
            <w:lang w:eastAsia="de-DE"/>
          </w:rPr>
          <w:t xml:space="preserve">halt </w:t>
        </w:r>
      </w:ins>
      <w:r>
        <w:rPr>
          <w:rFonts w:ascii="Times New Roman" w:eastAsia="Times New Roman" w:hAnsi="Times New Roman" w:cs="Times New Roman"/>
          <w:sz w:val="24"/>
          <w:szCs w:val="24"/>
          <w:lang w:eastAsia="de-DE"/>
        </w:rPr>
        <w:t>der ersten Impfstoffdosis und in Bezug auf milde Krankheitsverläufe. In Bezug auf die Verhinderung hospitalisierungsbedürftiger COVID-19-Verläufe war der Impfschutz vergleichbar.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Bevölkerung in Deutschland </w:t>
      </w:r>
      <w:commentRangeStart w:id="56"/>
      <w:del w:id="57" w:author="Rexroth, Ute" w:date="2021-06-21T17:12:00Z">
        <w:r>
          <w:rPr>
            <w:rFonts w:ascii="Times New Roman" w:eastAsia="Times New Roman" w:hAnsi="Times New Roman" w:cs="Times New Roman"/>
            <w:sz w:val="24"/>
            <w:szCs w:val="24"/>
            <w:lang w:eastAsia="de-DE"/>
          </w:rPr>
          <w:delText>daher insgesamt weiterhin</w:delText>
        </w:r>
      </w:del>
      <w:ins w:id="58" w:author="Rexroth, Ute" w:date="2021-06-21T17:12:00Z">
        <w:r>
          <w:rPr>
            <w:rFonts w:ascii="Times New Roman" w:eastAsia="Times New Roman" w:hAnsi="Times New Roman" w:cs="Times New Roman"/>
            <w:sz w:val="24"/>
            <w:szCs w:val="24"/>
            <w:lang w:eastAsia="de-DE"/>
          </w:rPr>
          <w:t>aktuell</w:t>
        </w:r>
      </w:ins>
      <w:r>
        <w:rPr>
          <w:rFonts w:ascii="Times New Roman" w:eastAsia="Times New Roman" w:hAnsi="Times New Roman" w:cs="Times New Roman"/>
          <w:sz w:val="24"/>
          <w:szCs w:val="24"/>
          <w:lang w:eastAsia="de-DE"/>
        </w:rPr>
        <w:t xml:space="preserve"> als </w:t>
      </w:r>
      <w:del w:id="59" w:author="Rexroth, Ute" w:date="2021-06-21T17:13:00Z">
        <w:r>
          <w:rPr>
            <w:rFonts w:ascii="Times New Roman" w:eastAsia="Times New Roman" w:hAnsi="Times New Roman" w:cs="Times New Roman"/>
            <w:b/>
            <w:bCs/>
            <w:sz w:val="24"/>
            <w:szCs w:val="24"/>
            <w:lang w:eastAsia="de-DE"/>
          </w:rPr>
          <w:delText>hoch</w:delText>
        </w:r>
        <w:r>
          <w:rPr>
            <w:rFonts w:ascii="Times New Roman" w:eastAsia="Times New Roman" w:hAnsi="Times New Roman" w:cs="Times New Roman"/>
            <w:sz w:val="24"/>
            <w:szCs w:val="24"/>
            <w:lang w:eastAsia="de-DE"/>
          </w:rPr>
          <w:delText xml:space="preserve"> </w:delText>
        </w:r>
      </w:del>
      <w:ins w:id="60" w:author="Rexroth, Ute" w:date="2021-06-21T17:13:00Z">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ein</w:t>
      </w:r>
      <w:commentRangeEnd w:id="56"/>
      <w:r>
        <w:rPr>
          <w:rStyle w:val="Kommentarzeichen"/>
        </w:rPr>
        <w:commentReference w:id="56"/>
      </w:r>
      <w:r>
        <w:rPr>
          <w:rFonts w:ascii="Times New Roman" w:eastAsia="Times New Roman" w:hAnsi="Times New Roman" w:cs="Times New Roman"/>
          <w:sz w:val="24"/>
          <w:szCs w:val="24"/>
          <w:lang w:eastAsia="de-DE"/>
        </w:rPr>
        <w: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kann durch das individuelle Verhalten selbstwirksam reduziert werden (AHA+L-Regel: Abstand halten, Hygiene beachten, Alltag mit Masken und regelmäßiges intensives Lüften aller Innenräume, in denen sich Personen aufhalten oder vor kurzem aufgehalten haben). Einfluss auf die Übertragbarkeit hat insbesondere der Impfstatus, aber auch die regionale Verbreitung und die Lebensbedingungen. Hierbei spielen Kontakte in Risikosituationen und deren Art und Dauer (wie z.B.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-face-Kontakt, Dauer von Gesprächen und Aerosol-erzeugende Tätigkeiten wie z.B. Singen)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VOC, die zuerst im Vereinigten Königreich (B.1.1.7; Alpha), in Südafrika (B.1.351; Beta), in Brasilien (P1; Gamma) und in Indien (B.1.617.2; Delta) nachgewiesen wurden, sind nach Untersuchungen aus dem Vereinigten Königreich und Südafrika und gemäß Einschätzung des ECDC </w:t>
      </w:r>
      <w:del w:id="61" w:author="Mankertz, Annette" w:date="2021-06-22T12:04:00Z">
        <w:r>
          <w:rPr>
            <w:rFonts w:ascii="Times New Roman" w:eastAsia="Times New Roman" w:hAnsi="Times New Roman" w:cs="Times New Roman"/>
            <w:sz w:val="24"/>
            <w:szCs w:val="24"/>
            <w:lang w:eastAsia="de-DE"/>
          </w:rPr>
          <w:delText xml:space="preserve">noch </w:delText>
        </w:r>
      </w:del>
      <w:r>
        <w:rPr>
          <w:rFonts w:ascii="Times New Roman" w:eastAsia="Times New Roman" w:hAnsi="Times New Roman" w:cs="Times New Roman"/>
          <w:sz w:val="24"/>
          <w:szCs w:val="24"/>
          <w:lang w:eastAsia="de-DE"/>
        </w:rPr>
        <w:t>leichter von Mensch zu Mensch übertragbar und unterstreichen daher die Notwendigkeit einer konsequenten Einhaltung der kontaktreduzierenden Maßnahmen</w:t>
      </w:r>
      <w:ins w:id="62" w:author="Mankertz, Annette" w:date="2021-06-22T12:04:00Z">
        <w:r>
          <w:rPr>
            <w:rFonts w:ascii="Times New Roman" w:eastAsia="Times New Roman" w:hAnsi="Times New Roman" w:cs="Times New Roman"/>
            <w:sz w:val="24"/>
            <w:szCs w:val="24"/>
            <w:lang w:eastAsia="de-DE"/>
          </w:rPr>
          <w:t>.</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Masken stellen einen wichtigen </w:t>
      </w:r>
      <w:bookmarkStart w:id="63" w:name="_GoBack"/>
      <w:bookmarkEnd w:id="63"/>
      <w:r>
        <w:rPr>
          <w:rFonts w:ascii="Times New Roman" w:eastAsia="Times New Roman" w:hAnsi="Times New Roman" w:cs="Times New Roman"/>
          <w:sz w:val="24"/>
          <w:szCs w:val="24"/>
          <w:lang w:eastAsia="de-DE"/>
        </w:rPr>
        <w:t>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SARS-CoV-2 spielt die Übertragung über Aerosole eine besondere Rolle. Die Aerosolausscheidung steigt bei lautem Sprechen, Singen oder Lachen stark an. In Innenräumen steigt hierdurch das Risiko einer Übertragung z.B. bei Sport deutlich, auch über einen größeren Abstand als 1,5 m. Im Alltag können </w:t>
      </w:r>
      <w:ins w:id="64" w:author="Mankertz, Annette" w:date="2021-06-22T12:04:00Z">
        <w:r>
          <w:rPr>
            <w:rFonts w:ascii="Times New Roman" w:eastAsia="Times New Roman" w:hAnsi="Times New Roman" w:cs="Times New Roman"/>
            <w:sz w:val="24"/>
            <w:szCs w:val="24"/>
            <w:lang w:eastAsia="de-DE"/>
          </w:rPr>
          <w:t xml:space="preserve">korrekt getragene </w:t>
        </w:r>
      </w:ins>
      <w:r>
        <w:rPr>
          <w:rFonts w:ascii="Times New Roman" w:eastAsia="Times New Roman" w:hAnsi="Times New Roman" w:cs="Times New Roman"/>
          <w:sz w:val="24"/>
          <w:szCs w:val="24"/>
          <w:lang w:eastAsia="de-DE"/>
        </w:rPr>
        <w:t>Masken die Freisetzung von Aerosolen reduzieren, aber nicht sicher vor einer Ansteckung schützen. Regelmäßiges intensives Lüften führt zu einer Reduktion der infektiösen Aerosole und ist daher ein wichtiger Bestandteil der Schutzmaßnahmen.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liegen inzwischen zunehmend Daten vor, die darauf hinweisen, dass die Impfung auch das Risiko einer Übertragung deutlich reduziert, diese aber nicht vollständig verhindert.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 xml:space="preserve">Bei der überwiegenden Zahl der Fälle verläuft die Erkrankung mild. Die Wahrscheinlichkeit für schwere und auch tödliche Krankheitsverläufe </w:t>
      </w:r>
      <w:del w:id="65" w:author="Mankertz, Annette" w:date="2021-06-22T12:05:00Z">
        <w:r>
          <w:rPr>
            <w:rFonts w:ascii="Times New Roman" w:eastAsia="Times New Roman" w:hAnsi="Times New Roman" w:cs="Times New Roman"/>
            <w:sz w:val="24"/>
            <w:szCs w:val="24"/>
            <w:lang w:eastAsia="de-DE"/>
          </w:rPr>
          <w:delText xml:space="preserve">nimmt </w:delText>
        </w:r>
      </w:del>
      <w:ins w:id="66" w:author="Mankertz, Annette" w:date="2021-06-22T12:05:00Z">
        <w:r>
          <w:rPr>
            <w:rFonts w:ascii="Times New Roman" w:eastAsia="Times New Roman" w:hAnsi="Times New Roman" w:cs="Times New Roman"/>
            <w:sz w:val="24"/>
            <w:szCs w:val="24"/>
            <w:lang w:eastAsia="de-DE"/>
          </w:rPr>
          <w:t xml:space="preserve">steigt </w:t>
        </w:r>
      </w:ins>
      <w:r>
        <w:rPr>
          <w:rFonts w:ascii="Times New Roman" w:eastAsia="Times New Roman" w:hAnsi="Times New Roman" w:cs="Times New Roman"/>
          <w:sz w:val="24"/>
          <w:szCs w:val="24"/>
          <w:lang w:eastAsia="de-DE"/>
        </w:rPr>
        <w:t>mit zunehmendem Alter und bei bestehenden Vorerkrankungen</w:t>
      </w:r>
      <w:del w:id="67" w:author="Mankertz, Annette" w:date="2021-06-22T12:05:00Z">
        <w:r>
          <w:rPr>
            <w:rFonts w:ascii="Times New Roman" w:eastAsia="Times New Roman" w:hAnsi="Times New Roman" w:cs="Times New Roman"/>
            <w:sz w:val="24"/>
            <w:szCs w:val="24"/>
            <w:lang w:eastAsia="de-DE"/>
          </w:rPr>
          <w:delText xml:space="preserve"> zu</w:delText>
        </w:r>
      </w:del>
      <w:r>
        <w:rPr>
          <w:rFonts w:ascii="Times New Roman" w:eastAsia="Times New Roman" w:hAnsi="Times New Roman" w:cs="Times New Roman"/>
          <w:sz w:val="24"/>
          <w:szCs w:val="24"/>
          <w:lang w:eastAsia="de-DE"/>
        </w:rPr>
        <w:t>. Das individuelle Risiko eines schweren Krankheitsverlaufs kann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 xml:space="preserve">Die Belastung des Gesundheitssystems hängt maßgeblich von der regionalen Verbreitung der Infektionen, den hauptsächlich betroffenen Bevölkerungsgruppen, den vorhandenen Kapazitäten und den eingeleiteten Gegenmaßnahmen (z.B. Isolierung, Quarantäne, physische Distanzierung) sowie der Impfquote ab. </w:t>
      </w:r>
      <w:del w:id="68" w:author="Mankertz, Annette" w:date="2021-06-22T12:06:00Z">
        <w:r>
          <w:rPr>
            <w:rFonts w:ascii="Times New Roman" w:eastAsia="Times New Roman" w:hAnsi="Times New Roman" w:cs="Times New Roman"/>
            <w:sz w:val="24"/>
            <w:szCs w:val="24"/>
            <w:lang w:eastAsia="de-DE"/>
          </w:rPr>
          <w:delText>Sie war</w:delText>
        </w:r>
      </w:del>
      <w:ins w:id="69" w:author="Mankertz, Annette" w:date="2021-06-22T12:06:00Z">
        <w:r>
          <w:rPr>
            <w:rFonts w:ascii="Times New Roman" w:eastAsia="Times New Roman" w:hAnsi="Times New Roman" w:cs="Times New Roman"/>
            <w:sz w:val="24"/>
            <w:szCs w:val="24"/>
            <w:lang w:eastAsia="de-DE"/>
          </w:rPr>
          <w:t>Die Anforderungen waren</w:t>
        </w:r>
      </w:ins>
      <w:r>
        <w:rPr>
          <w:rFonts w:ascii="Times New Roman" w:eastAsia="Times New Roman" w:hAnsi="Times New Roman" w:cs="Times New Roman"/>
          <w:sz w:val="24"/>
          <w:szCs w:val="24"/>
          <w:lang w:eastAsia="de-DE"/>
        </w:rPr>
        <w:t xml:space="preserve"> in weiten Teilen Deutschlands vorübergehend sehr hoch, sodass das öffentliche Gesundheitswesen und die Einrichtungen für die stationäre medizinische Versorgung örtlich an die Belastungsgrenze kamen. Da die verfügbaren Impfstoffe einen hohen Schutz vor der Entwicklung einer COVID-19-Erkrankung bieten, geht mit steigenden Impfquoten auch eine Entlastung des Gesundheitssystems einher.</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w:t>
      </w:r>
      <w:del w:id="70" w:author="Mankertz, Annette" w:date="2021-06-22T12:07:00Z">
        <w:r>
          <w:rPr>
            <w:rFonts w:ascii="Times New Roman" w:eastAsia="Times New Roman" w:hAnsi="Times New Roman" w:cs="Times New Roman"/>
            <w:sz w:val="24"/>
            <w:szCs w:val="24"/>
            <w:lang w:eastAsia="de-DE"/>
          </w:rPr>
          <w:delText xml:space="preserve">Einzelne </w:delText>
        </w:r>
      </w:del>
      <w:ins w:id="71" w:author="Mankertz, Annette" w:date="2021-06-22T12:07:00Z">
        <w:r>
          <w:rPr>
            <w:rFonts w:ascii="Times New Roman" w:eastAsia="Times New Roman" w:hAnsi="Times New Roman" w:cs="Times New Roman"/>
            <w:sz w:val="24"/>
            <w:szCs w:val="24"/>
            <w:lang w:eastAsia="de-DE"/>
          </w:rPr>
          <w:t xml:space="preserve">Mensch </w:t>
        </w:r>
      </w:ins>
      <w:r>
        <w:rPr>
          <w:rFonts w:ascii="Times New Roman" w:eastAsia="Times New Roman" w:hAnsi="Times New Roman" w:cs="Times New Roman"/>
          <w:sz w:val="24"/>
          <w:szCs w:val="24"/>
          <w:lang w:eastAsia="de-DE"/>
        </w:rPr>
        <w:t xml:space="preserve">bzw. jede Einrichtung beitragen: Grundsätzlich sollte bei allen physischen Kontakten außerhalb der gemeinsam in einem Haushalt lebenden Personen weiterhin auf Schutzmaßnahmen vor einer Ansteckung geachtet werden. Zu den empfohlenen Maßnahmen zählen das Abstandhalten, das Einhalten von Husten- und Niesregeln und das Tragen von Masken (AHA-Regeln). Dies gilt auch bei Menschenansammlungen im Freien, wenn der Mindestabstand von 1,5 m nicht </w:t>
      </w:r>
      <w:ins w:id="72" w:author="Arvand, Mardjan" w:date="2021-06-22T16:11:00Z">
        <w:r>
          <w:rPr>
            <w:rFonts w:ascii="Times New Roman" w:eastAsia="Times New Roman" w:hAnsi="Times New Roman" w:cs="Times New Roman"/>
            <w:sz w:val="24"/>
            <w:szCs w:val="24"/>
            <w:lang w:eastAsia="de-DE"/>
          </w:rPr>
          <w:t xml:space="preserve">sicher </w:t>
        </w:r>
      </w:ins>
      <w:r>
        <w:rPr>
          <w:rFonts w:ascii="Times New Roman" w:eastAsia="Times New Roman" w:hAnsi="Times New Roman" w:cs="Times New Roman"/>
          <w:sz w:val="24"/>
          <w:szCs w:val="24"/>
          <w:lang w:eastAsia="de-DE"/>
        </w:rPr>
        <w:t>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 Alle Personen, die unter akuten respiratorischen Symptomen leiden, sollten unbedingt für mindestens fünf Tage zu Hause bleiben und alle weiteren Kontakte vermeiden. Reisetätigkeit sollte wenn möglich weiterhin eingeschränkt bleiben, da Reisen in der Regel zu mehr Kontakten und möglichen Eintragungen von SARS-CoV-2 führen. Wenn Reisen stattfinden, sollten unbedingt alle empfohlenen Schutzmaßnahmen eingehalten werden. Als ein zusätzliches Element können Tests die Sicherheit durch frühe Erkennung der Virusausscheidung bevor Krankheitszeichen vorliegen weiter erhöhen. Tests stellen allerdings immer nur eine Momentaufnahme dar, die sich binnen Stunden ändern kann. Tests bieten selbst keinen Schutz vor einer Erkrankung. Darüber hinaus sollte einem gemachten Angebot zur Impfung gegen COVID-19 nachgekommen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w:t>
      </w:r>
      <w:del w:id="73" w:author="Mankertz, Annette" w:date="2021-06-22T12:08:00Z">
        <w:r>
          <w:rPr>
            <w:rFonts w:ascii="Times New Roman" w:eastAsia="Times New Roman" w:hAnsi="Times New Roman" w:cs="Times New Roman"/>
            <w:sz w:val="24"/>
            <w:szCs w:val="24"/>
            <w:lang w:eastAsia="de-DE"/>
          </w:rPr>
          <w:delText xml:space="preserve">weiterhin </w:delText>
        </w:r>
      </w:del>
      <w:r>
        <w:rPr>
          <w:rFonts w:ascii="Times New Roman" w:eastAsia="Times New Roman" w:hAnsi="Times New Roman" w:cs="Times New Roman"/>
          <w:sz w:val="24"/>
          <w:szCs w:val="24"/>
          <w:lang w:eastAsia="de-DE"/>
        </w:rPr>
        <w:t xml:space="preserve">möglich ist und andererseits das Infektionsgeschehen durch die Gesundheitsämter </w:t>
      </w:r>
      <w:del w:id="74" w:author="Mankertz, Annette" w:date="2021-06-22T12:08:00Z">
        <w:r>
          <w:rPr>
            <w:rFonts w:ascii="Times New Roman" w:eastAsia="Times New Roman" w:hAnsi="Times New Roman" w:cs="Times New Roman"/>
            <w:sz w:val="24"/>
            <w:szCs w:val="24"/>
            <w:lang w:eastAsia="de-DE"/>
          </w:rPr>
          <w:delText xml:space="preserve">überhaupt </w:delText>
        </w:r>
      </w:del>
      <w:r>
        <w:rPr>
          <w:rFonts w:ascii="Times New Roman" w:eastAsia="Times New Roman" w:hAnsi="Times New Roman" w:cs="Times New Roman"/>
          <w:sz w:val="24"/>
          <w:szCs w:val="24"/>
          <w:lang w:eastAsia="de-DE"/>
        </w:rPr>
        <w:t xml:space="preserve">wieder </w:t>
      </w:r>
      <w:del w:id="75" w:author="Mankertz, Annette" w:date="2021-06-22T12:08:00Z">
        <w:r>
          <w:rPr>
            <w:rFonts w:ascii="Times New Roman" w:eastAsia="Times New Roman" w:hAnsi="Times New Roman" w:cs="Times New Roman"/>
            <w:sz w:val="24"/>
            <w:szCs w:val="24"/>
            <w:lang w:eastAsia="de-DE"/>
          </w:rPr>
          <w:delText>gut kontrolliert</w:delText>
        </w:r>
      </w:del>
      <w:ins w:id="76" w:author="Mankertz, Annette" w:date="2021-06-22T12:08:00Z">
        <w:r>
          <w:rPr>
            <w:rFonts w:ascii="Times New Roman" w:eastAsia="Times New Roman" w:hAnsi="Times New Roman" w:cs="Times New Roman"/>
            <w:sz w:val="24"/>
            <w:szCs w:val="24"/>
            <w:lang w:eastAsia="de-DE"/>
          </w:rPr>
          <w:t>nachverfolgt</w:t>
        </w:r>
      </w:ins>
      <w:r>
        <w:rPr>
          <w:rFonts w:ascii="Times New Roman" w:eastAsia="Times New Roman" w:hAnsi="Times New Roman" w:cs="Times New Roman"/>
          <w:sz w:val="24"/>
          <w:szCs w:val="24"/>
          <w:lang w:eastAsia="de-DE"/>
        </w:rPr>
        <w:t xml:space="preserve"> werden kann. </w:t>
      </w:r>
      <w:commentRangeStart w:id="77"/>
      <w:r>
        <w:rPr>
          <w:rFonts w:ascii="Times New Roman" w:eastAsia="Times New Roman" w:hAnsi="Times New Roman" w:cs="Times New Roman"/>
          <w:sz w:val="24"/>
          <w:szCs w:val="24"/>
          <w:lang w:eastAsia="de-DE"/>
        </w:rPr>
        <w:t>Damit wird mehr Zeit für die Produktion von Impfstoffen und die Impfung weiterer Bevölkerungsgruppen gewonnen.</w:t>
      </w:r>
      <w:commentRangeEnd w:id="77"/>
      <w:r>
        <w:rPr>
          <w:rStyle w:val="Kommentarzeichen"/>
        </w:rPr>
        <w:commentReference w:id="77"/>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w:t>
      </w:r>
      <w:r>
        <w:rPr>
          <w:rFonts w:ascii="Times New Roman" w:eastAsia="Times New Roman" w:hAnsi="Times New Roman" w:cs="Times New Roman"/>
          <w:sz w:val="24"/>
          <w:szCs w:val="24"/>
          <w:lang w:eastAsia="de-DE"/>
        </w:rPr>
        <w:lastRenderedPageBreak/>
        <w:t>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7" w:tooltip="Aktueller Lage-/Situationsbericht des RKI zu COVID-19"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hyperlink r:id="rId8" w:tgtFrame="_blank" w:tooltip="Externer Link Impfdashboard des Bundesgesundheitsministeriums (Öffnet neues Fenster)" w:history="1">
        <w:r>
          <w:rPr>
            <w:rFonts w:ascii="Times New Roman" w:eastAsia="Times New Roman" w:hAnsi="Times New Roman" w:cs="Times New Roman"/>
            <w:color w:val="0000FF"/>
            <w:sz w:val="24"/>
            <w:szCs w:val="24"/>
            <w:u w:val="single"/>
            <w:lang w:eastAsia="de-DE"/>
          </w:rPr>
          <w:t>www.impfdashboard.de</w:t>
        </w:r>
      </w:hyperlink>
      <w:r>
        <w:rPr>
          <w:rFonts w:ascii="Times New Roman" w:eastAsia="Times New Roman" w:hAnsi="Times New Roman" w:cs="Times New Roman"/>
          <w:sz w:val="24"/>
          <w:szCs w:val="24"/>
          <w:lang w:eastAsia="de-DE"/>
        </w:rPr>
        <w:t>) gibt einen Überblick zur den Impfstofflieferungen, verabreichten Impfdosen in den priorisierten Gruppen und den erreichten Meilensteinen.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9"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10" w:tooltip="Kontaktpersonen-Nachverfolgung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11"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Informationen zur Impfung für die Fachöffentlichkeit sind in der STIKO-App gebündelt, die auch als Webversion zur Verfügung steht (</w:t>
      </w:r>
      <w:hyperlink r:id="rId12" w:tgtFrame="_blank" w:tooltip="Externer Link Web-version der App: www.STIKO-web-app.de  (Öffnet neues Fenster)" w:history="1">
        <w:r>
          <w:rPr>
            <w:rFonts w:ascii="Times New Roman" w:eastAsia="Times New Roman" w:hAnsi="Times New Roman" w:cs="Times New Roman"/>
            <w:color w:val="0000FF"/>
            <w:sz w:val="24"/>
            <w:szCs w:val="24"/>
            <w:u w:val="single"/>
            <w:lang w:eastAsia="de-DE"/>
          </w:rPr>
          <w:t>www.stiko-web-app.de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Bürger stellt die </w:t>
      </w:r>
      <w:hyperlink r:id="rId13"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rund um die Corona-Impfung finden sich auf der Internetseite </w:t>
      </w:r>
      <w:hyperlink r:id="rId14" w:tgtFrame="_blank" w:tooltip="Externer Link www.corona-schutzimpfung.de (Öffnet neues Fenster)" w:history="1">
        <w:r>
          <w:rPr>
            <w:rFonts w:ascii="Times New Roman" w:eastAsia="Times New Roman" w:hAnsi="Times New Roman" w:cs="Times New Roman"/>
            <w:color w:val="0000FF"/>
            <w:sz w:val="24"/>
            <w:szCs w:val="24"/>
            <w:u w:val="single"/>
            <w:lang w:eastAsia="de-DE"/>
          </w:rPr>
          <w:t>www.corona-schutzimpfung.de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Reisende sind beim </w:t>
      </w:r>
      <w:hyperlink r:id="rId15"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Auswärtigen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6"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78" w:author="Rexroth, Ute" w:date="2021-06-21T17:02:00Z">
        <w:r>
          <w:rPr>
            <w:rFonts w:ascii="Times New Roman" w:eastAsia="Times New Roman" w:hAnsi="Times New Roman" w:cs="Times New Roman"/>
            <w:sz w:val="24"/>
            <w:szCs w:val="24"/>
            <w:lang w:eastAsia="de-DE"/>
          </w:rPr>
          <w:delText>15</w:delText>
        </w:r>
      </w:del>
      <w:ins w:id="79" w:author="Rexroth, Ute" w:date="2021-06-21T17:02:00Z">
        <w:r>
          <w:rPr>
            <w:rFonts w:ascii="Times New Roman" w:eastAsia="Times New Roman" w:hAnsi="Times New Roman" w:cs="Times New Roman"/>
            <w:sz w:val="24"/>
            <w:szCs w:val="24"/>
            <w:lang w:eastAsia="de-DE"/>
          </w:rPr>
          <w:t>23</w:t>
        </w:r>
      </w:ins>
      <w:r>
        <w:rPr>
          <w:rFonts w:ascii="Times New Roman" w:eastAsia="Times New Roman" w:hAnsi="Times New Roman" w:cs="Times New Roman"/>
          <w:sz w:val="24"/>
          <w:szCs w:val="24"/>
          <w:lang w:eastAsia="de-DE"/>
        </w:rPr>
        <w:t>.06.2021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Rexroth, Ute" w:date="2021-06-21T17:03:00Z" w:initials="RU">
    <w:p>
      <w:pPr>
        <w:pStyle w:val="Kommentartext"/>
      </w:pPr>
      <w:r>
        <w:rPr>
          <w:rStyle w:val="Kommentarzeichen"/>
        </w:rPr>
        <w:annotationRef/>
      </w:r>
      <w:r>
        <w:t>Manche sind ja vielleicht schon im 5. Anstieg</w:t>
      </w:r>
    </w:p>
  </w:comment>
  <w:comment w:id="9" w:author="Rexroth, Ute" w:date="2021-06-21T17:06:00Z" w:initials="RU">
    <w:p>
      <w:pPr>
        <w:pStyle w:val="Kommentartext"/>
      </w:pPr>
      <w:r>
        <w:rPr>
          <w:rStyle w:val="Kommentarzeichen"/>
        </w:rPr>
        <w:annotationRef/>
      </w:r>
      <w:r>
        <w:t>Ich schlage vor, für ganz Deutschland eine Umstufung auf „</w:t>
      </w:r>
      <w:proofErr w:type="spellStart"/>
      <w:r>
        <w:t>cluster</w:t>
      </w:r>
      <w:proofErr w:type="spellEnd"/>
      <w:r>
        <w:t>“ beim ECDC vorzunehmen.</w:t>
      </w:r>
    </w:p>
  </w:comment>
  <w:comment w:id="18" w:author="Rexroth, Ute" w:date="2021-06-21T17:08:00Z" w:initials="RU">
    <w:p>
      <w:pPr>
        <w:pStyle w:val="Kommentartext"/>
      </w:pPr>
      <w:r>
        <w:rPr>
          <w:rStyle w:val="Kommentarzeichen"/>
        </w:rPr>
        <w:annotationRef/>
      </w:r>
      <w:r>
        <w:t>Dabei bleiben wir weiterhin</w:t>
      </w:r>
    </w:p>
  </w:comment>
  <w:comment w:id="19" w:author="Rexroth, Ute" w:date="2021-06-21T17:09:00Z" w:initials="RU">
    <w:p>
      <w:pPr>
        <w:pStyle w:val="Kommentartext"/>
      </w:pPr>
      <w:r>
        <w:rPr>
          <w:rStyle w:val="Kommentarzeichen"/>
        </w:rPr>
        <w:annotationRef/>
      </w:r>
      <w:r>
        <w:t>Vereinzelt wird wieder von Reiserückkehrern berichtet, das würde ich aber noch nicht ansprechen</w:t>
      </w:r>
    </w:p>
  </w:comment>
  <w:comment w:id="22" w:author="Rexroth, Ute" w:date="2021-06-21T17:11:00Z" w:initials="RU">
    <w:p>
      <w:pPr>
        <w:pStyle w:val="Kommentartext"/>
      </w:pPr>
      <w:r>
        <w:rPr>
          <w:rStyle w:val="Kommentarzeichen"/>
        </w:rPr>
        <w:annotationRef/>
      </w:r>
      <w:r>
        <w:t xml:space="preserve">Hier ggf. ein Satz zu Long </w:t>
      </w:r>
      <w:proofErr w:type="spellStart"/>
      <w:r>
        <w:t>Covid</w:t>
      </w:r>
      <w:proofErr w:type="spellEnd"/>
      <w:r>
        <w:t>?</w:t>
      </w:r>
    </w:p>
  </w:comment>
  <w:comment w:id="23" w:author="Mankertz, Annette" w:date="2021-06-22T12:00:00Z" w:initials="MA">
    <w:p>
      <w:pPr>
        <w:pStyle w:val="Kommentartext"/>
      </w:pPr>
      <w:r>
        <w:rPr>
          <w:rStyle w:val="Kommentarzeichen"/>
        </w:rPr>
        <w:annotationRef/>
      </w:r>
      <w:r>
        <w:t xml:space="preserve">Wir hatten diese Nomenklatur im KS beschlossen. Ich nehme wahr, dass sich inzwischen in der Öffentlichkeit die Benennung als Delta durchsetzt. Sollen wir </w:t>
      </w:r>
      <w:proofErr w:type="gramStart"/>
      <w:r>
        <w:t>dem Rechnung</w:t>
      </w:r>
      <w:proofErr w:type="gramEnd"/>
      <w:r>
        <w:t xml:space="preserve"> tragen, indem wir z.B. von Delta (B.1.617.2) sprechen?</w:t>
      </w:r>
    </w:p>
  </w:comment>
  <w:comment w:id="40" w:author="Arvand, Mardjan" w:date="2021-06-22T16:01:00Z" w:initials="AM">
    <w:p>
      <w:pPr>
        <w:pStyle w:val="Kommentartext"/>
      </w:pPr>
      <w:r>
        <w:rPr>
          <w:rStyle w:val="Kommentarzeichen"/>
        </w:rPr>
        <w:annotationRef/>
      </w:r>
      <w:r>
        <w:t>Ist das nicht so, dass der Anteil an Delta zunimmt aber die absolute Zahl zurückgeht? Wenn das stimmt wäre m.E. eine differenziertere Darstellung sinnvoll.</w:t>
      </w:r>
    </w:p>
  </w:comment>
  <w:comment w:id="53" w:author="Arvand, Mardjan" w:date="2021-06-22T16:05:00Z" w:initials="AM">
    <w:p>
      <w:pPr>
        <w:pStyle w:val="Kommentartext"/>
      </w:pPr>
      <w:r>
        <w:rPr>
          <w:rStyle w:val="Kommentarzeichen"/>
        </w:rPr>
        <w:annotationRef/>
      </w:r>
      <w:r>
        <w:t>Mancher?</w:t>
      </w:r>
    </w:p>
  </w:comment>
  <w:comment w:id="56" w:author="Rexroth, Ute" w:date="2021-06-21T17:13:00Z" w:initials="RU">
    <w:p>
      <w:pPr>
        <w:pStyle w:val="Kommentartext"/>
      </w:pPr>
      <w:r>
        <w:rPr>
          <w:rStyle w:val="Kommentarzeichen"/>
        </w:rPr>
        <w:annotationRef/>
      </w:r>
      <w:r>
        <w:t>Sollen wir angesichts der 7-Tagesinzidenzen &lt; 10/100.000 und weiterhin fallenden Trends fast aller Indikatoren auf „moderat“ wechseln“?</w:t>
      </w:r>
    </w:p>
    <w:p>
      <w:pPr>
        <w:pStyle w:val="Kommentartext"/>
      </w:pPr>
    </w:p>
    <w:p>
      <w:pPr>
        <w:pStyle w:val="Kommentartext"/>
      </w:pPr>
      <w:r>
        <w:t xml:space="preserve">Vor 1 Jahr (21.6.2020) lag 7Tagesinzidenz Deutschlandweit bei 3,9 und die Risikobewertung sprach </w:t>
      </w:r>
      <w:proofErr w:type="gramStart"/>
      <w:r>
        <w:t>dennoch  von</w:t>
      </w:r>
      <w:proofErr w:type="gramEnd"/>
      <w:r>
        <w:t xml:space="preserve"> „hoch“ für die Allgemeinbevölkerung und „sehr hoch“ für Risikopersonen.  Jetzt ist das Risiko dank Impferfolgen für Risikogruppen geringer. Dafür gibt es aber erhebliche Unsicherheiten wegen der Variante Delta.</w:t>
      </w:r>
    </w:p>
  </w:comment>
  <w:comment w:id="77" w:author="Arvand, Mardjan" w:date="2021-06-22T16:13:00Z" w:initials="AM">
    <w:p>
      <w:pPr>
        <w:pStyle w:val="Kommentartext"/>
      </w:pPr>
      <w:r>
        <w:rPr>
          <w:rStyle w:val="Kommentarzeichen"/>
        </w:rPr>
        <w:annotationRef/>
      </w:r>
      <w:r>
        <w:t>Dieser Satz passt m.E. hier nicht so gut, würde ich komplett streichen.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A4001"/>
    <w:multiLevelType w:val="multilevel"/>
    <w:tmpl w:val="2A3C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155C5B"/>
    <w:multiLevelType w:val="multilevel"/>
    <w:tmpl w:val="C004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Mankertz, Annette">
    <w15:presenceInfo w15:providerId="None" w15:userId="Mankertz, Annette"/>
  </w15:person>
  <w15:person w15:author="Arvand, Mardjan">
    <w15:presenceInfo w15:providerId="None" w15:userId="Arvand, Mardj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A8C74-AA41-4888-9F40-D608F2BE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88626">
      <w:bodyDiv w:val="1"/>
      <w:marLeft w:val="0"/>
      <w:marRight w:val="0"/>
      <w:marTop w:val="0"/>
      <w:marBottom w:val="0"/>
      <w:divBdr>
        <w:top w:val="none" w:sz="0" w:space="0" w:color="auto"/>
        <w:left w:val="none" w:sz="0" w:space="0" w:color="auto"/>
        <w:bottom w:val="none" w:sz="0" w:space="0" w:color="auto"/>
        <w:right w:val="none" w:sz="0" w:space="0" w:color="auto"/>
      </w:divBdr>
      <w:divsChild>
        <w:div w:id="1443068102">
          <w:marLeft w:val="0"/>
          <w:marRight w:val="0"/>
          <w:marTop w:val="0"/>
          <w:marBottom w:val="0"/>
          <w:divBdr>
            <w:top w:val="none" w:sz="0" w:space="0" w:color="auto"/>
            <w:left w:val="none" w:sz="0" w:space="0" w:color="auto"/>
            <w:bottom w:val="none" w:sz="0" w:space="0" w:color="auto"/>
            <w:right w:val="none" w:sz="0" w:space="0" w:color="auto"/>
          </w:divBdr>
        </w:div>
        <w:div w:id="1618874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fdashboard.de/" TargetMode="External"/><Relationship Id="rId13" Type="http://schemas.openxmlformats.org/officeDocument/2006/relationships/hyperlink" Target="https://www.infektionsschutz.de/"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rki.de/DE/Content/InfAZ/N/Neuartiges_Coronavirus/Situationsberichte/Gesamt.html;jsessionid=4D76B11CA05A450A7D5E2428DE52A486.internet111?nn=13490888" TargetMode="External"/><Relationship Id="rId12" Type="http://schemas.openxmlformats.org/officeDocument/2006/relationships/hyperlink" Target="https://www.stiko-web-app.de/hom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ki.de/DE/Content/InfAZ/N/Neuartiges_Coronavirus/Risikobewertung_Grundlage.html" TargetMode="Externa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jsessionid=4D76B11CA05A450A7D5E2428DE52A486.internet111?nn=13490888" TargetMode="External"/><Relationship Id="rId5" Type="http://schemas.openxmlformats.org/officeDocument/2006/relationships/comments" Target="comments.xml"/><Relationship Id="rId15" Type="http://schemas.openxmlformats.org/officeDocument/2006/relationships/hyperlink" Target="https://www.auswaertiges-amt.de/de/ReiseUndSicherheit/reise-und-sicherheitshinweise" TargetMode="External"/><Relationship Id="rId10" Type="http://schemas.openxmlformats.org/officeDocument/2006/relationships/hyperlink" Target="https://www.rki.de/DE/Content/InfAZ/N/Neuartiges_Coronavirus/Kontaktperson/Management.html;jsessionid=4D76B11CA05A450A7D5E2428DE52A486.internet111?nn=1349088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ki.de/DE/Content/InfAZ/N/Neuartiges_Coronavirus/nCoV.html;jsessionid=4D76B11CA05A450A7D5E2428DE52A486.internet111?nn=13490888" TargetMode="External"/><Relationship Id="rId14" Type="http://schemas.openxmlformats.org/officeDocument/2006/relationships/hyperlink" Target="https://www.corona-schutzimpfun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2329</Words>
  <Characters>14673</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Arvand, Mardjan</cp:lastModifiedBy>
  <cp:revision>5</cp:revision>
  <dcterms:created xsi:type="dcterms:W3CDTF">2021-06-22T14:16:00Z</dcterms:created>
  <dcterms:modified xsi:type="dcterms:W3CDTF">2021-06-22T14:19:00Z</dcterms:modified>
</cp:coreProperties>
</file>