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15.06.2021: Anpassung im Bereich Risikobewertung (Anpassung zu Verbreitung in der </w:t>
      </w:r>
      <w:bookmarkStart w:id="0" w:name="_GoBack"/>
      <w:r>
        <w:rPr>
          <w:rFonts w:ascii="Times New Roman" w:eastAsia="Times New Roman" w:hAnsi="Times New Roman" w:cs="Times New Roman"/>
          <w:i/>
          <w:iCs/>
          <w:sz w:val="24"/>
          <w:szCs w:val="24"/>
          <w:lang w:eastAsia="de-DE"/>
        </w:rPr>
        <w:t>Bevölkerung)</w:t>
      </w:r>
    </w:p>
    <w:bookmarkEnd w:id="0"/>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vorliegenden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Es handelt sich weltweit, in Europa und in Deutschland um eine ernst zu nehmende Situation. Insgesamt nimmt die Anzahl der Fälle weltweit ab, die Fallzahlen entwickeln sich aber von Staat zu Staat unterschiedlich. In vielen Staaten wurde um die Jahreswende mit der Impfung der Bevölkerung begonnen. Meist wurden zunächst die höheren Altersgruppen geimpft, inzwischen werden vielerorts auch andere Gruppen miteinbezogen.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wenn die Zahl der neu Infizierten insgesamt deutlich sinkt und die Zahl der Geimpften weiter steigt, können viele Menschen, nicht nur aus den Risikogruppen wie ältere Personen und Menschen mit Grunderkrankungen, zuverlässig vor schweren Krankheitsverläufen, intensivmedizinischer Behandlungsnotwendigkeit und Tod geschützt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einem Anstieg der Fälle im 1. Quartal 2021 gehen die 7-Tage-Inzidenzen und Fallzahlen im Bundesgebiet seit Ende April deutlich zurück. Der Rückgang betrifft alle Altersgruppen.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COVID-19-Fallzahlen auf Intensivstationen sind seit Ende April wieder rückläufig.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Schwere Erkrankungen an COVID-19, die im Krankenhaus behandelt werden müssen, betreffen inzwischen zunehmend Menschen unter 60 Jahren. Die Anzahl der Todesfälle ist rückläufig.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lassen sich aber wieder mehr Infektionsketten nachvollziehen</w:t>
      </w:r>
      <w:r>
        <w:rPr>
          <w:rFonts w:ascii="Times New Roman" w:eastAsia="Times New Roman" w:hAnsi="Times New Roman" w:cs="Times New Roman"/>
          <w:sz w:val="24"/>
          <w:szCs w:val="24"/>
          <w:lang w:eastAsia="de-DE"/>
        </w:rPr>
        <w:t xml:space="preserve">, aber Ausbrüche treten weiterhin auf. </w:t>
      </w:r>
      <w:r>
        <w:rPr>
          <w:rFonts w:ascii="Times New Roman" w:eastAsia="Times New Roman" w:hAnsi="Times New Roman" w:cs="Times New Roman"/>
          <w:sz w:val="24"/>
          <w:szCs w:val="24"/>
          <w:lang w:eastAsia="de-DE"/>
        </w:rPr>
        <w:t xml:space="preserve">Neue Varianten verbreiten sich leichter und führen zu schwereren Krankheitsverläufen. </w:t>
      </w:r>
      <w:proofErr w:type="spellStart"/>
      <w:r>
        <w:rPr>
          <w:rFonts w:ascii="Times New Roman" w:eastAsia="Times New Roman" w:hAnsi="Times New Roman" w:cs="Times New Roman"/>
          <w:sz w:val="24"/>
          <w:szCs w:val="24"/>
          <w:lang w:eastAsia="de-DE"/>
        </w:rPr>
        <w:t>Neben</w:t>
      </w:r>
      <w:proofErr w:type="spellEnd"/>
      <w:r>
        <w:rPr>
          <w:rFonts w:ascii="Times New Roman" w:eastAsia="Times New Roman" w:hAnsi="Times New Roman" w:cs="Times New Roman"/>
          <w:sz w:val="24"/>
          <w:szCs w:val="24"/>
          <w:lang w:eastAsia="de-DE"/>
        </w:rPr>
        <w:t xml:space="preserve"> der Fallfindung und der Nachverfolgung der Kontaktpersonen bleiben daher auch bei niedrigen Fallzahlen die individuellen infektionshygienischen Schutzmaßnahmen weiterhin von herausragender Bedeutung (Kontaktreduktion, AHA + L und bei Krankheitssymptomen zuhause bleiben).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Häufungen werden momentan vor allem in Privathaushalten, in Kitas und Schulen sowie dem beruflichen Umfeld einschließlich der Kontakte unter der Belegschaft beobachtet. Die Zahl von COVID-19-bedingten Ausbrüchen in Alten- und Pflegeheimen und Krankenhäusern ist insbesondere aufgrund der fortschreitenden Durchimpfung deutlich zurückgegangen.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die Senkung der Neuinfektionen, den Schutz der Risikogruppen und die Minimierung von schweren Erkrankungen ist die Impfung der Bevölkerung von zentraler Bedeutung. Effektive </w:t>
      </w:r>
      <w:r>
        <w:rPr>
          <w:rFonts w:ascii="Times New Roman" w:eastAsia="Times New Roman" w:hAnsi="Times New Roman" w:cs="Times New Roman"/>
          <w:sz w:val="24"/>
          <w:szCs w:val="24"/>
          <w:lang w:eastAsia="de-DE"/>
        </w:rPr>
        <w:lastRenderedPageBreak/>
        <w:t xml:space="preserve">und sichere Impfstoffe sind seit Ende 2020 zugelassen. Da zunächst noch nicht in ausreichenden Mengen für die gesamte Bevölkerung Impfstoff zur Verfügung stand, wurden die Impfdosen zunächst vorrangig den besonders gefährdeten und priorisierten Gruppen angeboten. Inzwischen wurde die </w:t>
      </w:r>
      <w:proofErr w:type="spellStart"/>
      <w:r>
        <w:rPr>
          <w:rFonts w:ascii="Times New Roman" w:eastAsia="Times New Roman" w:hAnsi="Times New Roman" w:cs="Times New Roman"/>
          <w:sz w:val="24"/>
          <w:szCs w:val="24"/>
          <w:lang w:eastAsia="de-DE"/>
        </w:rPr>
        <w:t>Impfpriorisierung</w:t>
      </w:r>
      <w:proofErr w:type="spellEnd"/>
      <w:r>
        <w:rPr>
          <w:rFonts w:ascii="Times New Roman" w:eastAsia="Times New Roman" w:hAnsi="Times New Roman" w:cs="Times New Roman"/>
          <w:sz w:val="24"/>
          <w:szCs w:val="24"/>
          <w:lang w:eastAsia="de-DE"/>
        </w:rPr>
        <w:t xml:space="preserve"> aufgehoben; es ist wichtig, dass bei zunehmender Verfügbarkeit der Impfstoffe möglichst viele Menschen das Impfangebot in Anspruch nehmen.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Dynamik der Verbreitung einiger Varianten von SARS-CoV-2 (aktuell B.1.1.7 (Alpha), B.1.351 (Beta), P.1 (Gamma) und B.1.617.2 (Delta)), die als besorgniserregende Varianten bezeichnet werden, wird in Deutschland systematisch analysiert. Manche besorgniserregenden Varianten (VOC) werden in unterschiedlichem Ausmaß auch in Deutschland nachgewiesen: Momentan überwiegt die Variante B.1.1.7 (Alpha), der Anteil der Variante Delta nimmt aber deutlich zu. Es liegen Daten vor, die auf eine erhöhte Übertragbarkeit der Varianten und potenziell schwerere Krankheitsverläufe hinweisen. Demzufolge kann die Verbreitung neuer Varianten zu einer schnellen Zunahme der Fallzahlen und der Verschlechterung der Lage beitragen. Alle Impfstoffe, die aktuell in Deutschland zur Verfügung stehen, schützen nach derzeitigen Erkenntnissen vor einer Erkrankung durch die in Deutschland hauptsächlich zirkulierende Variante B.1.1.7 (Alpha). Die besorgniserregende Variante B.1.617.2 (Delta) breitet sich aus. Sie ist im Vergleich zu B.1.1.7 (Alpha) besser übertragbar und es gibt Hinweise auf eine erhöhte Krankheitsschwere. Erste Studien weisen auf eine evtl. geringere Schutzwirkung mancher COVID-19-Impfstoffe gegen die Variante B.1.617.2 (Delta) hin. Die leicht verringerte Schutzwirkung zeigte sich hauptsächlich nach Erhalt der ersten Impfstoffdosis und in Bezug auf milde Krankheitsverläufe. In Bezug auf die Verhinderung hospitalisierungsbedürftiger COVID-19-Verläufe war der Impfschutz vergleichbar.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Bevölkerung in Deutschland daher insgesamt weiterhin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kann durch das individuelle Verhalten selbstwirksam reduziert werden (AHA+L-Regel: Abstand halten, Hygiene beachten, Alltag mit Masken und regelmäßiges intensives Lüften aller Innenräume, in denen sich Personen aufhalten oder vor kurzem aufgehalten haben). Einfluss auf die Übertragbarkeit hat insbesondere der Impfstatus, aber auch die regionale Verbreitung und die Lebensbedingungen. Hierbei spielen Kontakte in Risikosituationen und deren Art und Dauer (wie z.B.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-face-Kontakt, Dauer von Gesprächen und Aerosol-erzeugende Tätigkeiten wie z.B. Singen)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VOC, die zuerst im Vereinigten Königreich (B.1.1.7; Alpha), in Südafrika (B.1.351; Beta), in Brasilien (P1; Gamma) und in Indien (B.1.617.2; Delta) nachgewiesen wurden, sind nach Untersuchungen aus dem Vereinigten Königreich und Südafrika und gemäß Einschätzung des ECDC leichter von Mensch zu Mensch übertragbar und unterstreichen </w:t>
      </w:r>
      <w:r>
        <w:rPr>
          <w:rFonts w:ascii="Times New Roman" w:eastAsia="Times New Roman" w:hAnsi="Times New Roman" w:cs="Times New Roman"/>
          <w:sz w:val="24"/>
          <w:szCs w:val="24"/>
          <w:lang w:eastAsia="de-DE"/>
        </w:rPr>
        <w:lastRenderedPageBreak/>
        <w:t>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Masken stellen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können korrekt getragene Masken die Freisetzung von Aerosolen reduzieren, aber nicht sicher vor einer Ansteckung schützen. Regelmäßiges intensives Lüften führt zu einer Reduktion der infektiösen Aerosole und ist daher ein wichtiger Bestandteil der Schutzmaßnahmen.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liegen inzwischen zunehmend Daten vor, die darauf hinweisen, dass die Impfung auch das Risiko einer Übertragung deutlich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Bei der überwiegenden Zahl der Fälle verläuft die Erkrankung mild. Die Wahrscheinlichkeit für schwere und auch tödliche Krankheitsverläufe steigt mit zunehmendem Alter und bei bestehenden Vorerkrankungen. Das individuelle Risiko eines schweren Krankheitsverlaufs kann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Die Belastung des Gesundheitssystems hängt maßgeblich von der regionalen Verbreitung der Infektionen, den hauptsächlich betroffenen Bevölkerungsgruppen, den vorhandenen Kapazitäten und den eingeleiteten Gegenmaßnahmen (z.B. Isolierung, Quarantäne, physische Distanzierung) sowie der Impfquote ab. Die Anforderungen waren in weiten Teilen Deutschlands vorübergehend sehr hoch, sodass das öffentliche Gesundheitswesen und die Einrichtungen für die stationäre medizinische Versorgung örtlich an die Belastungsgrenze kamen. Da die verfügbaren Impfstoffe einen hohen Schutz vor der Entwicklung einer COVID-19-Erkrankung bieten, geht mit steigenden Impfquoten auch eine Entlastung des Gesundheitssystems einher.</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massiven Anstrengungen auf allen Ebenen des Öffentlichen Gesundheitsdienstes (ÖGD) stellen die Grundlage dar, um Infektionen in Deutschland so früh wie möglich zu erkennen und Ausbrüche und Infektionsketten einzudämmen. Zur Verhinderung von Infektionen im </w:t>
      </w:r>
      <w:r>
        <w:rPr>
          <w:rFonts w:ascii="Times New Roman" w:eastAsia="Times New Roman" w:hAnsi="Times New Roman" w:cs="Times New Roman"/>
          <w:sz w:val="24"/>
          <w:szCs w:val="24"/>
          <w:lang w:eastAsia="de-DE"/>
        </w:rPr>
        <w:lastRenderedPageBreak/>
        <w:t>privaten, beruflichen und öffentlichen Bereich kann jeder Mensch bzw. jede Einrichtung beitragen: Grundsätzlich sollte bei allen physischen Kontakten außerhalb der gemeinsam in einem Haushalt lebenden Personen weiterhin auf Schutzmaßnahmen vor einer Ansteckung geachtet werden. Zu den empfohlenen Maßnahmen zählen das Abstandhalten, das Einhalten von Husten- und Niesregeln und das Tragen von Masken (AHA-Regeln). Dies gilt auch bei Menschenansammlungen im Freien, wenn der Mindestabstand von 1,5 m nicht sicher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 Alle Personen, die unter akuten respiratorischen Symptomen leiden, sollten unbedingt für mindestens fünf Tage zu Hause bleiben und alle weiteren Kontakte vermeiden. Reisetätigkeit sollte wenn möglich weiterhin eingeschränkt bleiben, da Reisen in der Regel zu mehr Kontakten und möglichen Eintragungen von SARS-CoV-2 führen. Wenn Reisen stattfinden, sollten unbedingt alle empfohlenen Schutzmaßnahmen eingehalten werden. Als ein zusätzliches Element können Tests die Sicherheit durch frühe Erkennung der Virusausscheidung bevor Krankheitszeichen vorliegen weiter erhöhen. Tests stellen allerdings immer nur eine Momentaufnahme dar, die sich binnen Stunden ändern kann. Tests bieten selbst keinen Schutz vor einer Erkrankung. Darüber hinaus sollte einem gemachten Angebot zur Impfung gegen COVID-19 nachgekommen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möglich ist und andererseits das Infektionsgeschehen durch die Gesundheitsämter wieder nachverfolgt werden kann.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Fallzahlen in Deutschland sind auf dem RKI-Dashboard </w:t>
      </w:r>
      <w:hyperlink r:id="rId5"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6"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7"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8"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9"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0"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1"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Bürger stellt die </w:t>
      </w:r>
      <w:hyperlink r:id="rId12"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3"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Reisende sind beim </w:t>
      </w:r>
      <w:hyperlink r:id="rId14"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5"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25.06.2021</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A4001"/>
    <w:multiLevelType w:val="multilevel"/>
    <w:tmpl w:val="2A3C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155C5B"/>
    <w:multiLevelType w:val="multilevel"/>
    <w:tmpl w:val="C004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A8C74-AA41-4888-9F40-D608F2BE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88626">
      <w:bodyDiv w:val="1"/>
      <w:marLeft w:val="0"/>
      <w:marRight w:val="0"/>
      <w:marTop w:val="0"/>
      <w:marBottom w:val="0"/>
      <w:divBdr>
        <w:top w:val="none" w:sz="0" w:space="0" w:color="auto"/>
        <w:left w:val="none" w:sz="0" w:space="0" w:color="auto"/>
        <w:bottom w:val="none" w:sz="0" w:space="0" w:color="auto"/>
        <w:right w:val="none" w:sz="0" w:space="0" w:color="auto"/>
      </w:divBdr>
      <w:divsChild>
        <w:div w:id="1443068102">
          <w:marLeft w:val="0"/>
          <w:marRight w:val="0"/>
          <w:marTop w:val="0"/>
          <w:marBottom w:val="0"/>
          <w:divBdr>
            <w:top w:val="none" w:sz="0" w:space="0" w:color="auto"/>
            <w:left w:val="none" w:sz="0" w:space="0" w:color="auto"/>
            <w:bottom w:val="none" w:sz="0" w:space="0" w:color="auto"/>
            <w:right w:val="none" w:sz="0" w:space="0" w:color="auto"/>
          </w:divBdr>
        </w:div>
        <w:div w:id="1618874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jsessionid=4D76B11CA05A450A7D5E2428DE52A486.internet111?nn=13490888" TargetMode="External"/><Relationship Id="rId13" Type="http://schemas.openxmlformats.org/officeDocument/2006/relationships/hyperlink" Target="https://www.corona-schutzimpfung.de" TargetMode="External"/><Relationship Id="rId3" Type="http://schemas.openxmlformats.org/officeDocument/2006/relationships/settings" Target="settings.xml"/><Relationship Id="rId7" Type="http://schemas.openxmlformats.org/officeDocument/2006/relationships/hyperlink" Target="https://impfdashboard.de/" TargetMode="External"/><Relationship Id="rId12" Type="http://schemas.openxmlformats.org/officeDocument/2006/relationships/hyperlink" Target="https://www.infektionsschutz.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ki.de/DE/Content/InfAZ/N/Neuartiges_Coronavirus/Situationsberichte/Gesamt.html;jsessionid=4D76B11CA05A450A7D5E2428DE52A486.internet111?nn=13490888" TargetMode="External"/><Relationship Id="rId11" Type="http://schemas.openxmlformats.org/officeDocument/2006/relationships/hyperlink" Target="https://www.stiko-web-app.de/home/" TargetMode="External"/><Relationship Id="rId5" Type="http://schemas.openxmlformats.org/officeDocument/2006/relationships/hyperlink" Target="https://corona.rki.de" TargetMode="External"/><Relationship Id="rId15" Type="http://schemas.openxmlformats.org/officeDocument/2006/relationships/hyperlink" Target="https://www.rki.de/DE/Content/InfAZ/N/Neuartiges_Coronavirus/Risikobewertung_Grundlage.html" TargetMode="External"/><Relationship Id="rId10" Type="http://schemas.openxmlformats.org/officeDocument/2006/relationships/hyperlink" Target="https://www.rki.de/DE/Content/InfAZ/N/Neuartiges_Coronavirus/Risikogruppen.html;jsessionid=4D76B11CA05A450A7D5E2428DE52A486.internet111?nn=13490888"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Kontaktperson/Management.html;jsessionid=4D76B11CA05A450A7D5E2428DE52A486.internet111?nn=13490888" TargetMode="External"/><Relationship Id="rId14" Type="http://schemas.openxmlformats.org/officeDocument/2006/relationships/hyperlink" Target="https://www.auswaertiges-amt.de/de/ReiseUndSicherheit/reise-und-sicherheitshinweis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2228</Words>
  <Characters>14039</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2021-06-25T09:45:00Z</dcterms:created>
  <dcterms:modified xsi:type="dcterms:W3CDTF">2021-06-25T10:12:00Z</dcterms:modified>
</cp:coreProperties>
</file>