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25.06.2021: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 rückläufigen 7-Tage-Inzidenzen und Fallzahlen im Bundesgebiet seit Ende April in allen Altersgruppen stagniert die Fallzahl.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Zahl schwerer Erkrankungen an COVID-19, die im Krankenhaus evtl. auch intensivmedizinisch behandelt werden müssen und die Zahl der Todesfälle sind rückläufig bzw. 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momentan vor allem in Privathaushalten und in der Freizeit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und sichere Impfstoffe sind seit Ende 2020 zugelassen. Da zunächst noch nicht in </w:t>
      </w:r>
      <w:r>
        <w:rPr>
          <w:rFonts w:ascii="Times New Roman" w:eastAsia="Times New Roman" w:hAnsi="Times New Roman" w:cs="Times New Roman"/>
          <w:sz w:val="24"/>
          <w:szCs w:val="24"/>
          <w:lang w:eastAsia="de-DE"/>
        </w:rPr>
        <w:lastRenderedPageBreak/>
        <w:t xml:space="preserve">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es ist wichtig, dass bei zunehmender Verfügbarkeit der Impfstoffe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B.1.1.7 (Alpha), B.1.351 (Beta), P.1 (Gamma) und B.1.617.2 (Delta)), die als besorgniserregende Varianten bezeichnet werden, wird in Deutschland systematisch analysiert. Besorgniserregenden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ermöglichen. </w:t>
      </w:r>
      <w:del w:id="0" w:author="an der Heiden, Maria" w:date="2021-07-14T12:11:00Z">
        <w:r>
          <w:rPr>
            <w:rFonts w:ascii="Times New Roman" w:eastAsia="Times New Roman" w:hAnsi="Times New Roman" w:cs="Times New Roman"/>
            <w:sz w:val="24"/>
            <w:szCs w:val="24"/>
            <w:lang w:eastAsia="de-DE"/>
          </w:rPr>
          <w:delText xml:space="preserve">Darüber hinaus liegen Daten vor, die auf potenziell schwerere Krankheitsverläufe hinweisen. </w:delText>
        </w:r>
      </w:del>
    </w:p>
    <w:p>
      <w:pPr>
        <w:spacing w:before="100" w:beforeAutospacing="1" w:after="100" w:afterAutospacing="1" w:line="240" w:lineRule="auto"/>
        <w:rPr>
          <w:ins w:id="1" w:author="an der Heiden, Maria" w:date="2021-07-14T12: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w:t>
      </w:r>
      <w:commentRangeStart w:id="2"/>
      <w:commentRangeStart w:id="3"/>
      <w:r>
        <w:rPr>
          <w:rFonts w:ascii="Times New Roman" w:eastAsia="Times New Roman" w:hAnsi="Times New Roman" w:cs="Times New Roman"/>
          <w:sz w:val="24"/>
          <w:szCs w:val="24"/>
          <w:lang w:eastAsia="de-DE"/>
        </w:rPr>
        <w:t>Eine leicht verringerte Schutzwirkung bei B1.617.2 (Delta) im Vergleich zu B.1.1.7 (Alpha) zeigte sich in den bisher vorliegenden Daten hauptsächlich nach Erhalt der ersten Impfstoffdosis und in Bezug auf milde Krankheitsverläufe.</w:t>
      </w:r>
      <w:commentRangeEnd w:id="2"/>
      <w:r>
        <w:rPr>
          <w:rStyle w:val="Kommentarzeichen"/>
        </w:rPr>
        <w:commentReference w:id="2"/>
      </w:r>
      <w:commentRangeEnd w:id="3"/>
      <w:r>
        <w:rPr>
          <w:rStyle w:val="Kommentarzeichen"/>
        </w:rPr>
        <w:commentReference w:id="3"/>
      </w:r>
    </w:p>
    <w:p>
      <w:pPr>
        <w:spacing w:before="100" w:beforeAutospacing="1" w:after="100" w:afterAutospacing="1" w:line="240" w:lineRule="auto"/>
        <w:rPr>
          <w:ins w:id="4" w:author="an der Heiden, Maria" w:date="2021-07-14T12:05:00Z"/>
        </w:rPr>
      </w:pPr>
      <w:ins w:id="5" w:author="an der Heiden, Maria" w:date="2021-07-14T12:04:00Z">
        <w:r>
          <w:t>Die bisher vorliegenden Daten zeigen, dass nach Erhalt von nur einer von zwei Impfstoffdosen die Schutzwirkung gegenüber der Delta-Variante (B1.617.2) im Vergleich zur Alpha-Variante (B.1.1.7) leicht verringert ist.</w:t>
        </w:r>
      </w:ins>
      <w:bookmarkStart w:id="6" w:name="_GoBack"/>
      <w:bookmarkEnd w:id="6"/>
    </w:p>
    <w:p>
      <w:pPr>
        <w:spacing w:before="100" w:beforeAutospacing="1" w:after="100" w:afterAutospacing="1" w:line="240" w:lineRule="auto"/>
        <w:rPr>
          <w:del w:id="7" w:author="an der Heiden, Maria" w:date="2021-07-14T12:06:00Z"/>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w:t>
      </w:r>
      <w:commentRangeStart w:id="8"/>
      <w:del w:id="9" w:author="an der Heiden, Maria" w:date="2021-07-14T12:21:00Z">
        <w:r>
          <w:rPr>
            <w:rFonts w:ascii="Times New Roman" w:eastAsia="Times New Roman" w:hAnsi="Times New Roman" w:cs="Times New Roman"/>
            <w:sz w:val="24"/>
            <w:szCs w:val="24"/>
            <w:lang w:eastAsia="de-DE"/>
          </w:rPr>
          <w:delText xml:space="preserve">Für vollständig Geimpfte wird die Gefährdung als </w:delText>
        </w:r>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eingeschätzt</w:delText>
        </w:r>
      </w:del>
      <w:del w:id="10" w:author="an der Heiden, Maria" w:date="2021-07-14T12:10:00Z">
        <w:r>
          <w:rPr>
            <w:rFonts w:ascii="Times New Roman" w:eastAsia="Times New Roman" w:hAnsi="Times New Roman" w:cs="Times New Roman"/>
            <w:sz w:val="24"/>
            <w:szCs w:val="24"/>
            <w:lang w:eastAsia="de-DE"/>
          </w:rPr>
          <w:delText>, wobei Menschen mit chronischen Erkrankungen und vulnerable Bevölkerungsgruppen besonders betroffen sind</w:delText>
        </w:r>
      </w:del>
      <w:r>
        <w:rPr>
          <w:rFonts w:ascii="Times New Roman" w:eastAsia="Times New Roman" w:hAnsi="Times New Roman" w:cs="Times New Roman"/>
          <w:sz w:val="24"/>
          <w:szCs w:val="24"/>
          <w:lang w:eastAsia="de-DE"/>
        </w:rPr>
        <w:t xml:space="preserve">. </w:t>
      </w:r>
      <w:commentRangeEnd w:id="8"/>
      <w:r>
        <w:rPr>
          <w:rStyle w:val="Kommentarzeichen"/>
        </w:rPr>
        <w:commentReference w:id="8"/>
      </w:r>
      <w:r>
        <w:rPr>
          <w:rFonts w:ascii="Times New Roman" w:eastAsia="Times New Roman" w:hAnsi="Times New Roman" w:cs="Times New Roman"/>
          <w:sz w:val="24"/>
          <w:szCs w:val="24"/>
          <w:lang w:eastAsia="de-DE"/>
        </w:rPr>
        <w:t>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VOC, die zuerst im Vereinigten Königreich (B.1.1.7; Alpha), in Südafrika (B.1.351; Beta), in Brasilien (P1; Gamma) und in Indien (B.1.617.2; Delta) nachgewiesen wurden, sind nach Untersuchungen aus dem Vereinigten Königreich und Südafrika und gemäß Einschätzung des 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 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 und das Tragen von Masken (AHA+L-Regeln).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ist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n der Heiden, Maria" w:date="2021-07-14T10:10:00Z" w:initials="adHM">
    <w:p>
      <w:pPr>
        <w:pStyle w:val="NurText"/>
      </w:pPr>
      <w:r>
        <w:rPr>
          <w:rStyle w:val="Kommentarzeichen"/>
        </w:rPr>
        <w:annotationRef/>
      </w:r>
      <w:r>
        <w:t>Wurde nach Rücksprache mit Osamah und Walter Haas für den Lagebericht umformuliert zu:</w:t>
      </w:r>
    </w:p>
    <w:p>
      <w:pPr>
        <w:pStyle w:val="NurText"/>
      </w:pPr>
      <w:r>
        <w:t>"Die bisher vorliegenden Daten zeigen, dass nach Erhalt von nur einer von zwei Impfstoffdosen die Schutzwirkung gegenüber der Delta-Variante (B1.617.2) im Vergleich zur Alpha-Variante (B.1.1.7) leicht verringert ist."</w:t>
      </w:r>
    </w:p>
    <w:p>
      <w:pPr>
        <w:pStyle w:val="NurText"/>
      </w:pPr>
    </w:p>
    <w:p>
      <w:pPr>
        <w:pStyle w:val="NurText"/>
      </w:pPr>
      <w:r>
        <w:t>Der Teil mit den milden Verläufen wurde im Lagebericht weggelassen, weil es in der Kürze der Zeit nicht gelungen ist, dies korrekt und trotzdem gut verständlich zu formulieren.</w:t>
      </w:r>
    </w:p>
    <w:p>
      <w:pPr>
        <w:pStyle w:val="NurText"/>
      </w:pPr>
    </w:p>
    <w:p>
      <w:pPr>
        <w:pStyle w:val="Kommentartext"/>
      </w:pPr>
    </w:p>
  </w:comment>
  <w:comment w:id="3" w:author="an der Heiden, Maria" w:date="2021-07-14T12:06:00Z" w:initials="adHM">
    <w:p>
      <w:pPr>
        <w:pStyle w:val="Kommentartext"/>
      </w:pPr>
      <w:r>
        <w:rPr>
          <w:rStyle w:val="Kommentarzeichen"/>
        </w:rPr>
        <w:annotationRef/>
      </w:r>
      <w:proofErr w:type="spellStart"/>
      <w:r>
        <w:t>Todo</w:t>
      </w:r>
      <w:proofErr w:type="spellEnd"/>
      <w:r>
        <w:t xml:space="preserve"> an Walter Haas + Thomas Harder – eher auf positive Formulierung achten</w:t>
      </w:r>
    </w:p>
  </w:comment>
  <w:comment w:id="8" w:author="an der Heiden, Maria" w:date="2021-07-14T10:10:00Z" w:initials="adHM">
    <w:p>
      <w:pPr>
        <w:pStyle w:val="Kommentartext"/>
      </w:pPr>
      <w:r>
        <w:rPr>
          <w:rStyle w:val="Kommentarzeichen"/>
        </w:rPr>
        <w:annotationRef/>
      </w:r>
      <w:r>
        <w:t>Keine zu große Differenzierung</w:t>
      </w:r>
    </w:p>
    <w:p>
      <w:pPr>
        <w:pStyle w:val="Kommentartext"/>
      </w:pPr>
    </w:p>
    <w:p>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62EA1"/>
    <w:multiLevelType w:val="multilevel"/>
    <w:tmpl w:val="4970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A7271"/>
    <w:multiLevelType w:val="hybridMultilevel"/>
    <w:tmpl w:val="9A24C2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73E85-CF32-4D10-8B53-E4987F54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8968">
      <w:bodyDiv w:val="1"/>
      <w:marLeft w:val="0"/>
      <w:marRight w:val="0"/>
      <w:marTop w:val="0"/>
      <w:marBottom w:val="0"/>
      <w:divBdr>
        <w:top w:val="none" w:sz="0" w:space="0" w:color="auto"/>
        <w:left w:val="none" w:sz="0" w:space="0" w:color="auto"/>
        <w:bottom w:val="none" w:sz="0" w:space="0" w:color="auto"/>
        <w:right w:val="none" w:sz="0" w:space="0" w:color="auto"/>
      </w:divBdr>
    </w:div>
    <w:div w:id="347872026">
      <w:bodyDiv w:val="1"/>
      <w:marLeft w:val="0"/>
      <w:marRight w:val="0"/>
      <w:marTop w:val="0"/>
      <w:marBottom w:val="0"/>
      <w:divBdr>
        <w:top w:val="none" w:sz="0" w:space="0" w:color="auto"/>
        <w:left w:val="none" w:sz="0" w:space="0" w:color="auto"/>
        <w:bottom w:val="none" w:sz="0" w:space="0" w:color="auto"/>
        <w:right w:val="none" w:sz="0" w:space="0" w:color="auto"/>
      </w:divBdr>
    </w:div>
    <w:div w:id="4057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nn=13490888" TargetMode="External"/><Relationship Id="rId12" Type="http://schemas.openxmlformats.org/officeDocument/2006/relationships/hyperlink" Target="https://www.stiko-web-app.de/hom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2251</Words>
  <Characters>14182</Characters>
  <Application>Microsoft Office Word</Application>
  <DocSecurity>0</DocSecurity>
  <Lines>118</Lines>
  <Paragraphs>32</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Risikobewertung zu COVID-19</vt:lpstr>
      <vt:lpstr>    Risikobewertung</vt:lpstr>
      <vt:lpstr>    Infektionsschutzmaßnahmen und Strategie</vt:lpstr>
      <vt:lpstr>    Grundprinzipien der Risikobewertung des RKI</vt:lpstr>
      <vt:lpstr>    Situation in Deutschland</vt:lpstr>
      <vt:lpstr>    Weitere Informationsmöglichkeiten</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an der Heiden, Maria</cp:lastModifiedBy>
  <cp:revision>4</cp:revision>
  <dcterms:created xsi:type="dcterms:W3CDTF">2021-07-14T08:31:00Z</dcterms:created>
  <dcterms:modified xsi:type="dcterms:W3CDTF">2021-07-14T10:25:00Z</dcterms:modified>
</cp:coreProperties>
</file>